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阜阳师范学院心理委员联合会第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三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周工作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安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排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 xml:space="preserve"> （2018年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9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月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10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日—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9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月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16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日）</w:t>
      </w:r>
    </w:p>
    <w:tbl>
      <w:tblPr>
        <w:tblStyle w:val="28"/>
        <w:tblpPr w:vertAnchor="text" w:horzAnchor="page" w:tblpX="951" w:tblpY="29"/>
        <w:tblW w:w="14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925"/>
        <w:gridCol w:w="3915"/>
        <w:gridCol w:w="1620"/>
        <w:gridCol w:w="243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  <w:t>工作事项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  <w:t>时间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  <w:t>负责部组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  <w:t>负责人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  <w:t>具办人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采编部例会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10日(星期一）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伍冰艳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招新值班表安排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10日(星期一）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李天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咨询表安排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10日(星期一）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宛宏梅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宛宏梅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工作日志更新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10日(星期一）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李天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综合部例会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12日(星期三）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宛宏梅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采买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12日(星期三）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李天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李天 宛宏梅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朋辈部例会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rightChars="0"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13日(星期四)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 刘雪静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日常报账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15日(星期六）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李晨晨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宣泄室使用规则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10日至14日（星期一至星期五）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刘雪静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刘雪静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招新PPT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10日至14日（星期一至星期五）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报纸编排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10日至16日（星期一至星期日）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胡奇超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通讯稿修改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10日至16日（星期一至星期日）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刘珠玉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官Q更新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10日至16日（星期一至星期日）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刘珠玉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刘珠玉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中心规章制度书面化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10日至16日（星期一至星期日）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伍冰艳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通讯稿上传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10日至16日（星期一至星期日）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王秀茹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招新海报事宜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10日至16日（星期一至星期日）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王秀茹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陈子豪 王秀茹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官方QQ宣传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10日至16日（星期一至星期日）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李月月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网站维护与更新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10日至16日（星期一至星期日）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王秀茹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物品借出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10日至16日（星期一至星期日）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刘雪静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部门官Q管理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10日至16日（星期一至星期日）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借招新场地等一系列事务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11日至12日（星期二至星期三）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宛宏梅 周梦姣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招新说说更新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12日至16日（星期三至星期日）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李月月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0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2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招新</w:t>
            </w:r>
          </w:p>
        </w:tc>
        <w:tc>
          <w:tcPr>
            <w:tcW w:w="391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162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 刘雪静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朋辈部全体成员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/>
        <w:jc w:val="center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</w:p>
    <w:sectPr>
      <w:headerReference r:id="rId3" w:type="default"/>
      <w:footnotePr>
        <w:numFmt w:val="decimal"/>
      </w:footnotePr>
      <w:pgSz w:w="16838" w:h="23811"/>
      <w:pgMar w:top="1701" w:right="1440" w:bottom="1440" w:left="1440" w:header="708" w:footer="709" w:gutter="0"/>
      <w:pgNumType w:fmt="decimal"/>
      <w:cols w:equalWidth="0" w:num="1">
        <w:col w:w="9026"/>
      </w:cols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-5400675</wp:posOffset>
          </wp:positionV>
          <wp:extent cx="12934950" cy="18288000"/>
          <wp:effectExtent l="0" t="0" r="0" b="0"/>
          <wp:wrapNone/>
          <wp:docPr id="6" name="WordPictureWatermark139535" descr="579d576ca850698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139535" descr="579d576ca850698e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0" cy="18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05B564ED"/>
    <w:rsid w:val="0F0D30D1"/>
    <w:rsid w:val="1D9D240B"/>
    <w:rsid w:val="2397697C"/>
    <w:rsid w:val="25DE50BC"/>
    <w:rsid w:val="2DF42782"/>
    <w:rsid w:val="3980503D"/>
    <w:rsid w:val="3DF318D2"/>
    <w:rsid w:val="41854B0A"/>
    <w:rsid w:val="4543466E"/>
    <w:rsid w:val="66022716"/>
    <w:rsid w:val="6D3132C6"/>
    <w:rsid w:val="75520DA0"/>
    <w:rsid w:val="765D49CB"/>
    <w:rsid w:val="7FEB4FFE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7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table" w:styleId="28">
    <w:name w:val="Table Grid"/>
    <w:qFormat/>
    <w:uiPriority w:val="38"/>
    <w:pPr>
      <w:widowControl/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No Spacing"/>
    <w:qFormat/>
    <w:uiPriority w:val="5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2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3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7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8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729</Words>
  <Characters>787</Characters>
  <Lines>0</Lines>
  <Paragraphs>0</Paragraphs>
  <TotalTime>0</TotalTime>
  <ScaleCrop>false</ScaleCrop>
  <LinksUpToDate>false</LinksUpToDate>
  <CharactersWithSpaces>793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2018-05-20T03:09:00Z</dcterms:created>
  <dc:creator>asus</dc:creator>
  <cp:lastModifiedBy>Dom kqungsoo</cp:lastModifiedBy>
  <dcterms:modified xsi:type="dcterms:W3CDTF">2018-09-09T04:41:36Z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