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pacing w:val="-30"/>
          <w:szCs w:val="21"/>
          <w:highlight w:val="none"/>
        </w:rPr>
      </w:pPr>
      <w:r>
        <w:rPr>
          <w:rFonts w:hint="eastAsia" w:ascii="宋体" w:hAnsi="宋体" w:eastAsia="宋体" w:cs="宋体"/>
          <w:color w:val="auto"/>
          <w:spacing w:val="-30"/>
          <w:szCs w:val="21"/>
          <w:highlight w:val="none"/>
        </w:rPr>
        <w:t xml:space="preserve">   </w:t>
      </w:r>
    </w:p>
    <w:p>
      <w:pPr>
        <w:ind w:left="0" w:leftChars="0" w:firstLine="0" w:firstLineChars="0"/>
        <w:jc w:val="both"/>
        <w:rPr>
          <w:rFonts w:hint="eastAsia" w:asciiTheme="majorEastAsia" w:hAnsiTheme="majorEastAsia" w:eastAsiaTheme="majorEastAsia" w:cstheme="majorEastAsia"/>
          <w:b/>
          <w:color w:val="auto"/>
          <w:spacing w:val="20"/>
          <w:kern w:val="0"/>
          <w:sz w:val="52"/>
          <w:szCs w:val="52"/>
          <w:lang w:val="en-US" w:eastAsia="zh-CN"/>
        </w:rPr>
      </w:pPr>
      <w:r>
        <w:rPr>
          <w:rFonts w:hint="eastAsia" w:asciiTheme="majorEastAsia" w:hAnsiTheme="majorEastAsia" w:eastAsiaTheme="majorEastAsia" w:cstheme="majorEastAsia"/>
          <w:b/>
          <w:color w:val="auto"/>
          <w:spacing w:val="20"/>
          <w:kern w:val="0"/>
          <w:sz w:val="52"/>
          <w:szCs w:val="52"/>
          <w:lang w:val="en-US" w:eastAsia="zh-CN"/>
        </w:rPr>
        <w:t>阜阳市发展和改革委员会“十四五”规划前期课题研究服务单位采购项目</w:t>
      </w:r>
    </w:p>
    <w:p>
      <w:pPr>
        <w:pStyle w:val="2"/>
        <w:rPr>
          <w:rFonts w:hint="eastAsia" w:asciiTheme="majorEastAsia" w:hAnsiTheme="majorEastAsia" w:eastAsiaTheme="majorEastAsia" w:cstheme="majorEastAsia"/>
          <w:b/>
          <w:color w:val="auto"/>
          <w:spacing w:val="20"/>
          <w:kern w:val="0"/>
          <w:sz w:val="48"/>
          <w:szCs w:val="48"/>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jc w:val="center"/>
        <w:rPr>
          <w:rFonts w:hint="eastAsia" w:ascii="宋体" w:hAnsi="宋体" w:eastAsia="宋体" w:cs="宋体"/>
          <w:b/>
          <w:color w:val="auto"/>
          <w:szCs w:val="21"/>
          <w:highlight w:val="none"/>
        </w:rPr>
      </w:pPr>
    </w:p>
    <w:p>
      <w:pPr>
        <w:spacing w:line="480" w:lineRule="auto"/>
        <w:jc w:val="cente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（项目编号：</w:t>
      </w:r>
      <w:r>
        <w:rPr>
          <w:rFonts w:hint="eastAsia" w:ascii="宋体" w:hAnsi="宋体" w:cs="宋体"/>
          <w:b/>
          <w:color w:val="auto"/>
          <w:sz w:val="32"/>
          <w:szCs w:val="32"/>
          <w:highlight w:val="none"/>
          <w:u w:val="none"/>
          <w:lang w:val="en-US" w:eastAsia="zh-CN"/>
        </w:rPr>
        <w:t>XTYZB019-438</w:t>
      </w:r>
      <w:r>
        <w:rPr>
          <w:rFonts w:hint="eastAsia" w:ascii="宋体" w:hAnsi="宋体" w:eastAsia="宋体" w:cs="宋体"/>
          <w:b/>
          <w:color w:val="auto"/>
          <w:sz w:val="32"/>
          <w:szCs w:val="32"/>
          <w:highlight w:val="none"/>
          <w:u w:val="none"/>
        </w:rPr>
        <w:t>）</w:t>
      </w:r>
    </w:p>
    <w:p>
      <w:pPr>
        <w:snapToGrid w:val="0"/>
        <w:spacing w:line="360" w:lineRule="auto"/>
        <w:ind w:left="420" w:hanging="420" w:hangingChars="200"/>
        <w:jc w:val="center"/>
        <w:rPr>
          <w:rFonts w:hint="eastAsia" w:ascii="宋体" w:hAnsi="宋体" w:eastAsia="宋体" w:cs="宋体"/>
          <w:color w:val="auto"/>
          <w:szCs w:val="21"/>
          <w:highlight w:val="none"/>
        </w:rPr>
      </w:pPr>
    </w:p>
    <w:p>
      <w:pPr>
        <w:snapToGrid w:val="0"/>
        <w:spacing w:line="360" w:lineRule="auto"/>
        <w:ind w:left="602" w:hanging="602" w:hangingChars="200"/>
        <w:jc w:val="center"/>
        <w:rPr>
          <w:rFonts w:hint="eastAsia" w:ascii="宋体" w:hAnsi="宋体" w:eastAsia="宋体" w:cs="宋体"/>
          <w:b/>
          <w:color w:val="auto"/>
          <w:sz w:val="30"/>
          <w:szCs w:val="30"/>
          <w:highlight w:val="none"/>
        </w:rPr>
      </w:pPr>
    </w:p>
    <w:p>
      <w:pPr>
        <w:snapToGrid w:val="0"/>
        <w:spacing w:line="360" w:lineRule="auto"/>
        <w:ind w:left="422" w:hanging="422" w:hangingChars="200"/>
        <w:jc w:val="center"/>
        <w:rPr>
          <w:rFonts w:hint="eastAsia" w:ascii="宋体" w:hAnsi="宋体" w:eastAsia="宋体" w:cs="宋体"/>
          <w:b/>
          <w:color w:val="auto"/>
          <w:szCs w:val="21"/>
          <w:highlight w:val="none"/>
        </w:rPr>
      </w:pPr>
    </w:p>
    <w:p>
      <w:pPr>
        <w:snapToGrid w:val="0"/>
        <w:spacing w:line="360" w:lineRule="auto"/>
        <w:ind w:left="422" w:hanging="422" w:hangingChars="200"/>
        <w:jc w:val="center"/>
        <w:rPr>
          <w:rFonts w:hint="eastAsia" w:ascii="宋体" w:hAnsi="宋体" w:eastAsia="宋体" w:cs="宋体"/>
          <w:b/>
          <w:color w:val="auto"/>
          <w:szCs w:val="21"/>
          <w:highlight w:val="none"/>
        </w:rPr>
      </w:pPr>
    </w:p>
    <w:p>
      <w:pPr>
        <w:snapToGrid w:val="0"/>
        <w:spacing w:line="360" w:lineRule="auto"/>
        <w:ind w:left="422" w:hanging="422" w:hangingChars="200"/>
        <w:jc w:val="center"/>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left="422" w:hanging="422" w:hangingChars="200"/>
        <w:jc w:val="center"/>
        <w:rPr>
          <w:rFonts w:hint="eastAsia" w:ascii="宋体" w:hAnsi="宋体" w:eastAsia="宋体" w:cs="宋体"/>
          <w:b/>
          <w:color w:val="auto"/>
          <w:szCs w:val="21"/>
          <w:highlight w:val="none"/>
        </w:rPr>
      </w:pPr>
    </w:p>
    <w:p>
      <w:pPr>
        <w:snapToGrid w:val="0"/>
        <w:spacing w:line="360" w:lineRule="auto"/>
        <w:ind w:left="422" w:hanging="422" w:hangingChars="200"/>
        <w:jc w:val="center"/>
        <w:rPr>
          <w:rFonts w:hint="eastAsia" w:ascii="宋体" w:hAnsi="宋体" w:eastAsia="宋体" w:cs="宋体"/>
          <w:b/>
          <w:color w:val="auto"/>
          <w:szCs w:val="21"/>
          <w:highlight w:val="none"/>
        </w:rPr>
      </w:pPr>
    </w:p>
    <w:p>
      <w:pPr>
        <w:jc w:val="center"/>
        <w:rPr>
          <w:rFonts w:hint="eastAsia" w:ascii="宋体" w:hAnsi="宋体" w:eastAsia="宋体" w:cs="宋体"/>
          <w:color w:val="auto"/>
          <w:szCs w:val="21"/>
          <w:highlight w:val="none"/>
        </w:rPr>
      </w:pPr>
    </w:p>
    <w:p>
      <w:pPr>
        <w:spacing w:line="480" w:lineRule="auto"/>
        <w:rPr>
          <w:rFonts w:hint="eastAsia" w:ascii="宋体" w:hAnsi="宋体" w:eastAsia="宋体" w:cs="宋体"/>
          <w:b/>
          <w:color w:val="auto"/>
          <w:sz w:val="18"/>
          <w:szCs w:val="18"/>
          <w:highlight w:val="none"/>
        </w:rPr>
      </w:pPr>
    </w:p>
    <w:p>
      <w:pPr>
        <w:spacing w:line="480" w:lineRule="auto"/>
        <w:jc w:val="center"/>
        <w:rPr>
          <w:rFonts w:hint="eastAsia" w:ascii="宋体" w:hAnsi="宋体" w:eastAsia="宋体" w:cs="宋体"/>
          <w:b/>
          <w:color w:val="auto"/>
          <w:sz w:val="18"/>
          <w:szCs w:val="18"/>
          <w:highlight w:val="none"/>
        </w:rPr>
      </w:pPr>
    </w:p>
    <w:p>
      <w:pPr>
        <w:spacing w:line="480" w:lineRule="auto"/>
        <w:jc w:val="center"/>
        <w:rPr>
          <w:rFonts w:hint="eastAsia" w:ascii="宋体" w:hAnsi="宋体" w:eastAsia="宋体" w:cs="宋体"/>
          <w:b/>
          <w:color w:val="auto"/>
          <w:sz w:val="18"/>
          <w:szCs w:val="18"/>
          <w:highlight w:val="none"/>
        </w:rPr>
      </w:pPr>
    </w:p>
    <w:p>
      <w:pPr>
        <w:spacing w:line="480" w:lineRule="auto"/>
        <w:jc w:val="center"/>
        <w:rPr>
          <w:rFonts w:hint="eastAsia" w:ascii="宋体" w:hAnsi="宋体" w:eastAsia="宋体" w:cs="宋体"/>
          <w:b/>
          <w:color w:val="auto"/>
          <w:sz w:val="18"/>
          <w:szCs w:val="18"/>
          <w:highlight w:val="none"/>
        </w:rPr>
      </w:pPr>
    </w:p>
    <w:p>
      <w:pPr>
        <w:pStyle w:val="2"/>
        <w:rPr>
          <w:rFonts w:hint="eastAsia" w:ascii="宋体" w:hAnsi="宋体" w:eastAsia="宋体" w:cs="宋体"/>
          <w:b/>
          <w:color w:val="auto"/>
          <w:sz w:val="18"/>
          <w:szCs w:val="18"/>
          <w:highlight w:val="none"/>
        </w:rPr>
      </w:pPr>
    </w:p>
    <w:p>
      <w:pPr>
        <w:pStyle w:val="2"/>
        <w:rPr>
          <w:rFonts w:hint="eastAsia" w:ascii="宋体" w:hAnsi="宋体" w:eastAsia="宋体" w:cs="宋体"/>
          <w:b/>
          <w:color w:val="auto"/>
          <w:sz w:val="18"/>
          <w:szCs w:val="18"/>
          <w:highlight w:val="none"/>
        </w:rPr>
      </w:pPr>
    </w:p>
    <w:p>
      <w:pPr>
        <w:pStyle w:val="2"/>
        <w:rPr>
          <w:rFonts w:hint="eastAsia" w:ascii="宋体" w:hAnsi="宋体" w:eastAsia="宋体" w:cs="宋体"/>
          <w:b/>
          <w:color w:val="auto"/>
          <w:sz w:val="18"/>
          <w:szCs w:val="18"/>
          <w:highlight w:val="none"/>
        </w:rPr>
      </w:pPr>
    </w:p>
    <w:p>
      <w:pPr>
        <w:pStyle w:val="2"/>
        <w:rPr>
          <w:rFonts w:hint="eastAsia" w:ascii="宋体" w:hAnsi="宋体" w:eastAsia="宋体" w:cs="宋体"/>
          <w:b/>
          <w:color w:val="auto"/>
          <w:sz w:val="18"/>
          <w:szCs w:val="18"/>
          <w:highlight w:val="none"/>
        </w:rPr>
      </w:pPr>
    </w:p>
    <w:p>
      <w:pPr>
        <w:pStyle w:val="2"/>
        <w:rPr>
          <w:rFonts w:hint="eastAsia" w:ascii="宋体" w:hAnsi="宋体" w:eastAsia="宋体" w:cs="宋体"/>
          <w:color w:val="auto"/>
          <w:highlight w:val="none"/>
        </w:rPr>
      </w:pPr>
    </w:p>
    <w:p>
      <w:pPr>
        <w:spacing w:line="480" w:lineRule="auto"/>
        <w:jc w:val="center"/>
        <w:rPr>
          <w:rFonts w:hint="eastAsia" w:ascii="宋体" w:hAnsi="宋体" w:cs="宋体"/>
          <w:b/>
          <w:color w:val="auto"/>
          <w:sz w:val="32"/>
          <w:szCs w:val="32"/>
          <w:highlight w:val="none"/>
          <w:u w:val="single"/>
          <w:lang w:eastAsia="zh-CN"/>
        </w:rPr>
      </w:pPr>
      <w:r>
        <w:rPr>
          <w:rFonts w:hint="eastAsia" w:ascii="宋体" w:hAnsi="宋体" w:cs="宋体"/>
          <w:b/>
          <w:color w:val="auto"/>
          <w:sz w:val="32"/>
          <w:szCs w:val="32"/>
          <w:highlight w:val="none"/>
          <w:u w:val="none"/>
          <w:lang w:eastAsia="zh-CN"/>
        </w:rPr>
        <w:t>采购人:</w:t>
      </w:r>
      <w:r>
        <w:rPr>
          <w:rFonts w:hint="eastAsia" w:ascii="宋体" w:hAnsi="宋体" w:cs="宋体"/>
          <w:b/>
          <w:color w:val="auto"/>
          <w:sz w:val="32"/>
          <w:szCs w:val="32"/>
          <w:highlight w:val="none"/>
          <w:u w:val="single"/>
          <w:lang w:eastAsia="zh-CN"/>
        </w:rPr>
        <w:t xml:space="preserve"> 阜阳市发展和改革委员会</w:t>
      </w:r>
    </w:p>
    <w:p>
      <w:pPr>
        <w:tabs>
          <w:tab w:val="left" w:pos="4620"/>
        </w:tabs>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二〇一九年</w:t>
      </w:r>
      <w:r>
        <w:rPr>
          <w:rFonts w:hint="eastAsia" w:ascii="宋体" w:hAnsi="宋体" w:cs="宋体"/>
          <w:b/>
          <w:color w:val="auto"/>
          <w:sz w:val="32"/>
          <w:szCs w:val="32"/>
          <w:highlight w:val="none"/>
          <w:lang w:eastAsia="zh-CN"/>
        </w:rPr>
        <w:t>七</w:t>
      </w:r>
      <w:r>
        <w:rPr>
          <w:rFonts w:hint="eastAsia" w:ascii="宋体" w:hAnsi="宋体" w:eastAsia="宋体" w:cs="宋体"/>
          <w:b/>
          <w:color w:val="auto"/>
          <w:sz w:val="32"/>
          <w:szCs w:val="32"/>
          <w:highlight w:val="none"/>
        </w:rPr>
        <w:t>月</w:t>
      </w:r>
    </w:p>
    <w:p>
      <w:pPr>
        <w:tabs>
          <w:tab w:val="left" w:pos="4620"/>
        </w:tabs>
        <w:spacing w:line="480" w:lineRule="auto"/>
        <w:jc w:val="center"/>
        <w:rPr>
          <w:rFonts w:hint="eastAsia" w:ascii="宋体" w:hAnsi="宋体" w:cs="宋体"/>
          <w:b/>
          <w:color w:val="auto"/>
          <w:sz w:val="32"/>
          <w:szCs w:val="32"/>
          <w:highlight w:val="none"/>
          <w:lang w:eastAsia="zh-CN"/>
        </w:rPr>
        <w:sectPr>
          <w:footerReference r:id="rId3" w:type="default"/>
          <w:pgSz w:w="11907" w:h="16840"/>
          <w:pgMar w:top="1247" w:right="1417" w:bottom="1247" w:left="1417" w:header="851" w:footer="992" w:gutter="0"/>
          <w:pgNumType w:start="1"/>
          <w:cols w:space="0" w:num="1"/>
          <w:rtlGutter w:val="0"/>
          <w:docGrid w:linePitch="303" w:charSpace="0"/>
        </w:sectPr>
      </w:pPr>
    </w:p>
    <w:p>
      <w:pPr>
        <w:tabs>
          <w:tab w:val="left" w:pos="4620"/>
        </w:tabs>
        <w:spacing w:line="480" w:lineRule="auto"/>
        <w:jc w:val="center"/>
        <w:rPr>
          <w:rFonts w:hint="eastAsia" w:ascii="宋体" w:hAnsi="宋体" w:cs="宋体"/>
          <w:b/>
          <w:color w:val="auto"/>
          <w:sz w:val="36"/>
          <w:szCs w:val="36"/>
          <w:highlight w:val="none"/>
          <w:lang w:eastAsia="zh-CN"/>
        </w:rPr>
      </w:pPr>
    </w:p>
    <w:p>
      <w:pPr>
        <w:tabs>
          <w:tab w:val="left" w:pos="4620"/>
        </w:tabs>
        <w:spacing w:line="480" w:lineRule="auto"/>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目</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录</w:t>
      </w:r>
    </w:p>
    <w:sdt>
      <w:sdtPr>
        <w:rPr>
          <w:rFonts w:ascii="宋体" w:hAnsi="宋体" w:eastAsia="宋体" w:cs="Times New Roman"/>
          <w:color w:val="auto"/>
          <w:kern w:val="2"/>
          <w:sz w:val="21"/>
          <w:lang w:val="en-US" w:eastAsia="zh-CN" w:bidi="ar-SA"/>
        </w:rPr>
        <w:id w:val="147458221"/>
        <w15:color w:val="DBDBDB"/>
        <w:docPartObj>
          <w:docPartGallery w:val="Table of Contents"/>
          <w:docPartUnique/>
        </w:docPartObj>
      </w:sdtPr>
      <w:sdtEndPr>
        <w:rPr>
          <w:rFonts w:ascii="Times New Roman" w:hAnsi="Times New Roman" w:eastAsia="宋体" w:cs="Times New Roman"/>
          <w:color w:val="auto"/>
          <w:kern w:val="2"/>
          <w:sz w:val="21"/>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14089_WPSOffice_Type1"/>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fldChar w:fldCharType="begin"/>
          </w:r>
          <w:r>
            <w:rPr>
              <w:color w:val="auto"/>
              <w:sz w:val="24"/>
              <w:szCs w:val="24"/>
            </w:rPr>
            <w:instrText xml:space="preserve"> HYPERLINK \l _Toc8599_WPSOffice_Level1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3d6e2853-2ce0-4d27-89f4-5b693e758d56}"/>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第一章  竞争性磋商公告</w:t>
              </w:r>
            </w:sdtContent>
          </w:sdt>
          <w:r>
            <w:rPr>
              <w:color w:val="auto"/>
              <w:sz w:val="24"/>
              <w:szCs w:val="24"/>
            </w:rPr>
            <w:tab/>
          </w:r>
          <w:bookmarkStart w:id="1" w:name="_Toc8599_WPSOffice_Level1Page"/>
          <w:r>
            <w:rPr>
              <w:color w:val="auto"/>
              <w:sz w:val="24"/>
              <w:szCs w:val="24"/>
            </w:rPr>
            <w:t>1</w:t>
          </w:r>
          <w:bookmarkEnd w:id="1"/>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fldChar w:fldCharType="begin"/>
          </w:r>
          <w:r>
            <w:rPr>
              <w:color w:val="auto"/>
              <w:sz w:val="24"/>
              <w:szCs w:val="24"/>
            </w:rPr>
            <w:instrText xml:space="preserve"> HYPERLINK \l _Toc14089_WPSOffice_Level1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1eb809b7-124c-45af-8586-740d901e1c6a}"/>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第二章  供应商须知及前附表</w:t>
              </w:r>
            </w:sdtContent>
          </w:sdt>
          <w:r>
            <w:rPr>
              <w:color w:val="auto"/>
              <w:sz w:val="24"/>
              <w:szCs w:val="24"/>
            </w:rPr>
            <w:tab/>
          </w:r>
          <w:bookmarkStart w:id="2" w:name="_Toc14089_WPSOffice_Level1Page"/>
          <w:r>
            <w:rPr>
              <w:color w:val="auto"/>
              <w:sz w:val="24"/>
              <w:szCs w:val="24"/>
            </w:rPr>
            <w:t>5</w:t>
          </w:r>
          <w:bookmarkEnd w:id="2"/>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fldChar w:fldCharType="begin"/>
          </w:r>
          <w:r>
            <w:rPr>
              <w:color w:val="auto"/>
              <w:sz w:val="24"/>
              <w:szCs w:val="24"/>
            </w:rPr>
            <w:instrText xml:space="preserve"> HYPERLINK \l _Toc26801_WPSOffice_Level1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947905dd-980a-45e1-9615-42bb90948f8c}"/>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 xml:space="preserve">第三章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磋商办法</w:t>
              </w:r>
            </w:sdtContent>
          </w:sdt>
          <w:r>
            <w:rPr>
              <w:color w:val="auto"/>
              <w:sz w:val="24"/>
              <w:szCs w:val="24"/>
            </w:rPr>
            <w:tab/>
          </w:r>
          <w:bookmarkStart w:id="3" w:name="_Toc26801_WPSOffice_Level1Page"/>
          <w:r>
            <w:rPr>
              <w:color w:val="auto"/>
              <w:sz w:val="24"/>
              <w:szCs w:val="24"/>
            </w:rPr>
            <w:t>19</w:t>
          </w:r>
          <w:bookmarkEnd w:id="3"/>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fldChar w:fldCharType="begin"/>
          </w:r>
          <w:r>
            <w:rPr>
              <w:color w:val="auto"/>
              <w:sz w:val="24"/>
              <w:szCs w:val="24"/>
            </w:rPr>
            <w:instrText xml:space="preserve"> HYPERLINK \l _Toc28798_WPSOffice_Level1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768bce5d-b74f-494e-b5c6-639153c98471}"/>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第四章  编制要求</w:t>
              </w:r>
            </w:sdtContent>
          </w:sdt>
          <w:r>
            <w:rPr>
              <w:color w:val="auto"/>
              <w:sz w:val="24"/>
              <w:szCs w:val="24"/>
            </w:rPr>
            <w:tab/>
          </w:r>
          <w:bookmarkStart w:id="4" w:name="_Toc28798_WPSOffice_Level1Page"/>
          <w:r>
            <w:rPr>
              <w:color w:val="auto"/>
              <w:sz w:val="24"/>
              <w:szCs w:val="24"/>
            </w:rPr>
            <w:t>25</w:t>
          </w:r>
          <w:bookmarkEnd w:id="4"/>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fldChar w:fldCharType="begin"/>
          </w:r>
          <w:r>
            <w:rPr>
              <w:color w:val="auto"/>
              <w:sz w:val="24"/>
              <w:szCs w:val="24"/>
            </w:rPr>
            <w:instrText xml:space="preserve"> HYPERLINK \l _Toc22846_WPSOffice_Level1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f7befc00-7ef0-4085-ac85-d4a31365d47b}"/>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第五章  合同格式及基本条款</w:t>
              </w:r>
            </w:sdtContent>
          </w:sdt>
          <w:r>
            <w:rPr>
              <w:color w:val="auto"/>
              <w:sz w:val="24"/>
              <w:szCs w:val="24"/>
            </w:rPr>
            <w:tab/>
          </w:r>
          <w:bookmarkStart w:id="5" w:name="_Toc22846_WPSOffice_Level1Page"/>
          <w:r>
            <w:rPr>
              <w:color w:val="auto"/>
              <w:sz w:val="24"/>
              <w:szCs w:val="24"/>
            </w:rPr>
            <w:t>26</w:t>
          </w:r>
          <w:bookmarkEnd w:id="5"/>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textAlignment w:val="auto"/>
            <w:rPr>
              <w:color w:val="auto"/>
              <w:sz w:val="24"/>
              <w:szCs w:val="24"/>
            </w:rPr>
          </w:pPr>
          <w:r>
            <w:rPr>
              <w:color w:val="auto"/>
              <w:sz w:val="24"/>
              <w:szCs w:val="24"/>
            </w:rPr>
            <w:fldChar w:fldCharType="begin"/>
          </w:r>
          <w:r>
            <w:rPr>
              <w:color w:val="auto"/>
              <w:sz w:val="24"/>
              <w:szCs w:val="24"/>
            </w:rPr>
            <w:instrText xml:space="preserve"> HYPERLINK \l _Toc23352_WPSOffice_Level1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6f897b86-4d8d-484c-8ce4-9d52eb49ffbf}"/>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第六章  响应文件格式</w:t>
              </w:r>
            </w:sdtContent>
          </w:sdt>
          <w:r>
            <w:rPr>
              <w:color w:val="auto"/>
              <w:sz w:val="24"/>
              <w:szCs w:val="24"/>
            </w:rPr>
            <w:tab/>
          </w:r>
          <w:bookmarkStart w:id="6" w:name="_Toc23352_WPSOffice_Level1Page"/>
          <w:r>
            <w:rPr>
              <w:color w:val="auto"/>
              <w:sz w:val="24"/>
              <w:szCs w:val="24"/>
            </w:rPr>
            <w:t>28</w:t>
          </w:r>
          <w:bookmarkEnd w:id="6"/>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_Toc17185_WPSOffice_Level1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71a0ae0d-e1e2-4de4-b5e4-a83ab71936eb}"/>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1.响应函</w:t>
              </w:r>
            </w:sdtContent>
          </w:sdt>
          <w:r>
            <w:rPr>
              <w:color w:val="auto"/>
              <w:sz w:val="24"/>
              <w:szCs w:val="24"/>
            </w:rPr>
            <w:tab/>
          </w:r>
          <w:bookmarkStart w:id="7" w:name="_Toc17185_WPSOffice_Level1Page"/>
          <w:r>
            <w:rPr>
              <w:color w:val="auto"/>
              <w:sz w:val="24"/>
              <w:szCs w:val="24"/>
            </w:rPr>
            <w:t>29</w:t>
          </w:r>
          <w:bookmarkEnd w:id="7"/>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_Toc18658_WPSOffice_Level1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09bf882c-daa1-46b6-a789-430e8ef3efb5}"/>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2.供应商承诺书</w:t>
              </w:r>
            </w:sdtContent>
          </w:sdt>
          <w:r>
            <w:rPr>
              <w:color w:val="auto"/>
              <w:sz w:val="24"/>
              <w:szCs w:val="24"/>
            </w:rPr>
            <w:tab/>
          </w:r>
          <w:bookmarkStart w:id="8" w:name="_Toc18658_WPSOffice_Level1Page"/>
          <w:r>
            <w:rPr>
              <w:color w:val="auto"/>
              <w:sz w:val="24"/>
              <w:szCs w:val="24"/>
            </w:rPr>
            <w:t>30</w:t>
          </w:r>
          <w:bookmarkEnd w:id="8"/>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_Toc23566_WPSOffice_Level1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ff04c69e-fce1-4c66-bea3-77533868328c}"/>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3.法定代表人授权书</w:t>
              </w:r>
            </w:sdtContent>
          </w:sdt>
          <w:r>
            <w:rPr>
              <w:color w:val="auto"/>
              <w:sz w:val="24"/>
              <w:szCs w:val="24"/>
            </w:rPr>
            <w:tab/>
          </w:r>
          <w:bookmarkStart w:id="9" w:name="_Toc23566_WPSOffice_Level1Page"/>
          <w:r>
            <w:rPr>
              <w:color w:val="auto"/>
              <w:sz w:val="24"/>
              <w:szCs w:val="24"/>
            </w:rPr>
            <w:t>31</w:t>
          </w:r>
          <w:bookmarkEnd w:id="9"/>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_Toc25968_WPSOffice_Level1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3604d2cc-ad60-46c3-b0e8-34cc15b70238}"/>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4.首轮响应报价表</w:t>
              </w:r>
            </w:sdtContent>
          </w:sdt>
          <w:r>
            <w:rPr>
              <w:color w:val="auto"/>
              <w:sz w:val="24"/>
              <w:szCs w:val="24"/>
            </w:rPr>
            <w:tab/>
          </w:r>
          <w:bookmarkStart w:id="10" w:name="_Toc25968_WPSOffice_Level1Page"/>
          <w:r>
            <w:rPr>
              <w:color w:val="auto"/>
              <w:sz w:val="24"/>
              <w:szCs w:val="24"/>
            </w:rPr>
            <w:t>32</w:t>
          </w:r>
          <w:bookmarkEnd w:id="10"/>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_Toc12300_WPSOffice_Level1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c8c5e77a-1e57-497d-9b99-965e9033b910}"/>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5.二轮/N轮报价表</w:t>
              </w:r>
            </w:sdtContent>
          </w:sdt>
          <w:r>
            <w:rPr>
              <w:color w:val="auto"/>
              <w:sz w:val="24"/>
              <w:szCs w:val="24"/>
            </w:rPr>
            <w:tab/>
          </w:r>
          <w:bookmarkStart w:id="11" w:name="_Toc12300_WPSOffice_Level1Page"/>
          <w:r>
            <w:rPr>
              <w:color w:val="auto"/>
              <w:sz w:val="24"/>
              <w:szCs w:val="24"/>
            </w:rPr>
            <w:t>33</w:t>
          </w:r>
          <w:bookmarkEnd w:id="11"/>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_Toc19877_WPSOffice_Level1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3d5ec6da-dd94-47b5-9734-d1758c7e7bd1}"/>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6.服务分项报价表</w:t>
              </w:r>
            </w:sdtContent>
          </w:sdt>
          <w:r>
            <w:rPr>
              <w:color w:val="auto"/>
              <w:sz w:val="24"/>
              <w:szCs w:val="24"/>
            </w:rPr>
            <w:tab/>
          </w:r>
          <w:bookmarkStart w:id="12" w:name="_Toc19877_WPSOffice_Level1Page"/>
          <w:r>
            <w:rPr>
              <w:color w:val="auto"/>
              <w:sz w:val="24"/>
              <w:szCs w:val="24"/>
            </w:rPr>
            <w:t>34</w:t>
          </w:r>
          <w:bookmarkEnd w:id="12"/>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_Toc10111_WPSOffice_Level1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5547e3f9-360e-42ec-88dc-4e4ce1c7bc89}"/>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7.课题研究方案</w:t>
              </w:r>
            </w:sdtContent>
          </w:sdt>
          <w:r>
            <w:rPr>
              <w:color w:val="auto"/>
              <w:sz w:val="24"/>
              <w:szCs w:val="24"/>
            </w:rPr>
            <w:tab/>
          </w:r>
          <w:bookmarkStart w:id="13" w:name="_Toc10111_WPSOffice_Level1Page"/>
          <w:r>
            <w:rPr>
              <w:color w:val="auto"/>
              <w:sz w:val="24"/>
              <w:szCs w:val="24"/>
            </w:rPr>
            <w:t>35</w:t>
          </w:r>
          <w:bookmarkEnd w:id="13"/>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_Toc16688_WPSOffice_Level1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c15c123c-d4b5-44da-80ab-14ba59d37f4d}"/>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8.拟任课题组主要成员</w:t>
              </w:r>
            </w:sdtContent>
          </w:sdt>
          <w:r>
            <w:rPr>
              <w:color w:val="auto"/>
              <w:sz w:val="24"/>
              <w:szCs w:val="24"/>
            </w:rPr>
            <w:tab/>
          </w:r>
          <w:bookmarkStart w:id="14" w:name="_Toc16688_WPSOffice_Level1Page"/>
          <w:r>
            <w:rPr>
              <w:color w:val="auto"/>
              <w:sz w:val="24"/>
              <w:szCs w:val="24"/>
            </w:rPr>
            <w:t>36</w:t>
          </w:r>
          <w:bookmarkEnd w:id="14"/>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_Toc211_WPSOffice_Level1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0bd4b027-7669-430d-bad5-31d84cf170c2}"/>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9.资格证明材料</w:t>
              </w:r>
            </w:sdtContent>
          </w:sdt>
          <w:r>
            <w:rPr>
              <w:color w:val="auto"/>
              <w:sz w:val="24"/>
              <w:szCs w:val="24"/>
            </w:rPr>
            <w:tab/>
          </w:r>
          <w:bookmarkStart w:id="15" w:name="_Toc211_WPSOffice_Level1Page"/>
          <w:r>
            <w:rPr>
              <w:color w:val="auto"/>
              <w:sz w:val="24"/>
              <w:szCs w:val="24"/>
            </w:rPr>
            <w:t>38</w:t>
          </w:r>
          <w:bookmarkEnd w:id="15"/>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sz w:val="24"/>
              <w:szCs w:val="24"/>
            </w:rPr>
          </w:pPr>
          <w:r>
            <w:rPr>
              <w:color w:val="auto"/>
              <w:sz w:val="24"/>
              <w:szCs w:val="24"/>
            </w:rPr>
            <w:fldChar w:fldCharType="begin"/>
          </w:r>
          <w:r>
            <w:rPr>
              <w:color w:val="auto"/>
              <w:sz w:val="24"/>
              <w:szCs w:val="24"/>
            </w:rPr>
            <w:instrText xml:space="preserve"> HYPERLINK \l _Toc21622_WPSOffice_Level1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33540991-8f46-42d8-a2f1-c428762f73e9}"/>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10.供应商荣誉及能力等相关资料</w:t>
              </w:r>
            </w:sdtContent>
          </w:sdt>
          <w:r>
            <w:rPr>
              <w:color w:val="auto"/>
              <w:sz w:val="24"/>
              <w:szCs w:val="24"/>
            </w:rPr>
            <w:tab/>
          </w:r>
          <w:bookmarkStart w:id="16" w:name="_Toc21622_WPSOffice_Level1Page"/>
          <w:r>
            <w:rPr>
              <w:color w:val="auto"/>
              <w:sz w:val="24"/>
              <w:szCs w:val="24"/>
            </w:rPr>
            <w:t>39</w:t>
          </w:r>
          <w:bookmarkEnd w:id="16"/>
          <w:r>
            <w:rPr>
              <w:color w:val="auto"/>
              <w:sz w:val="24"/>
              <w:szCs w:val="24"/>
            </w:rPr>
            <w:fldChar w:fldCharType="end"/>
          </w:r>
        </w:p>
        <w:p>
          <w:pPr>
            <w:pStyle w:val="27"/>
            <w:keepNext w:val="0"/>
            <w:keepLines w:val="0"/>
            <w:pageBreakBefore w:val="0"/>
            <w:widowControl/>
            <w:tabs>
              <w:tab w:val="right" w:leader="dot" w:pos="9073"/>
            </w:tabs>
            <w:kinsoku/>
            <w:wordWrap/>
            <w:overflowPunct/>
            <w:topLinePunct w:val="0"/>
            <w:autoSpaceDE/>
            <w:autoSpaceDN/>
            <w:bidi w:val="0"/>
            <w:adjustRightInd/>
            <w:snapToGrid/>
            <w:spacing w:line="440" w:lineRule="exact"/>
            <w:ind w:left="0" w:leftChars="0" w:firstLine="420" w:firstLineChars="175"/>
            <w:textAlignment w:val="auto"/>
            <w:rPr>
              <w:color w:val="auto"/>
            </w:rPr>
          </w:pPr>
          <w:r>
            <w:rPr>
              <w:color w:val="auto"/>
              <w:sz w:val="24"/>
              <w:szCs w:val="24"/>
            </w:rPr>
            <w:fldChar w:fldCharType="begin"/>
          </w:r>
          <w:r>
            <w:rPr>
              <w:color w:val="auto"/>
              <w:sz w:val="24"/>
              <w:szCs w:val="24"/>
            </w:rPr>
            <w:instrText xml:space="preserve"> HYPERLINK \l _Toc14296_WPSOffice_Level1 </w:instrText>
          </w:r>
          <w:r>
            <w:rPr>
              <w:color w:val="auto"/>
              <w:sz w:val="24"/>
              <w:szCs w:val="24"/>
            </w:rPr>
            <w:fldChar w:fldCharType="separate"/>
          </w:r>
          <w:sdt>
            <w:sdtPr>
              <w:rPr>
                <w:rFonts w:ascii="Times New Roman" w:hAnsi="Times New Roman" w:eastAsia="Times New Roman" w:cs="Times New Roman"/>
                <w:color w:val="auto"/>
                <w:kern w:val="2"/>
                <w:sz w:val="24"/>
                <w:szCs w:val="24"/>
                <w:lang w:val="en-US" w:eastAsia="zh-CN" w:bidi="ar-SA"/>
              </w:rPr>
              <w:id w:val="147458221"/>
              <w:placeholder>
                <w:docPart w:val="{d8a8b2d0-a3e8-4857-986b-128b1b3500b2}"/>
              </w:placeholder>
              <w15:color w:val="509DF3"/>
            </w:sdtPr>
            <w:sdtEndPr>
              <w:rPr>
                <w:rFonts w:ascii="Times New Roman" w:hAnsi="Times New Roman" w:eastAsia="Times New Roman" w:cs="Times New Roman"/>
                <w:color w:val="auto"/>
                <w:kern w:val="2"/>
                <w:sz w:val="24"/>
                <w:szCs w:val="24"/>
                <w:lang w:val="en-US" w:eastAsia="zh-CN" w:bidi="ar-SA"/>
              </w:rPr>
            </w:sdtEndPr>
            <w:sdtContent>
              <w:r>
                <w:rPr>
                  <w:rFonts w:hint="eastAsia" w:ascii="宋体" w:hAnsi="宋体" w:eastAsia="宋体" w:cs="宋体"/>
                  <w:color w:val="auto"/>
                  <w:sz w:val="24"/>
                  <w:szCs w:val="24"/>
                </w:rPr>
                <w:t>11.诚信承诺书</w:t>
              </w:r>
            </w:sdtContent>
          </w:sdt>
          <w:r>
            <w:rPr>
              <w:color w:val="auto"/>
              <w:sz w:val="24"/>
              <w:szCs w:val="24"/>
            </w:rPr>
            <w:tab/>
          </w:r>
          <w:bookmarkStart w:id="17" w:name="_Toc14296_WPSOffice_Level1Page"/>
          <w:r>
            <w:rPr>
              <w:color w:val="auto"/>
              <w:sz w:val="24"/>
              <w:szCs w:val="24"/>
            </w:rPr>
            <w:t>40</w:t>
          </w:r>
          <w:bookmarkEnd w:id="17"/>
          <w:r>
            <w:rPr>
              <w:color w:val="auto"/>
              <w:sz w:val="24"/>
              <w:szCs w:val="24"/>
            </w:rPr>
            <w:fldChar w:fldCharType="end"/>
          </w:r>
          <w:bookmarkEnd w:id="0"/>
        </w:p>
      </w:sdtContent>
    </w:sdt>
    <w:p>
      <w:pPr>
        <w:pStyle w:val="2"/>
        <w:rPr>
          <w:rFonts w:hint="eastAsia" w:ascii="宋体" w:hAnsi="宋体" w:cs="宋体"/>
          <w:b/>
          <w:color w:val="auto"/>
          <w:sz w:val="32"/>
          <w:szCs w:val="32"/>
          <w:highlight w:val="none"/>
          <w:lang w:eastAsia="zh-CN"/>
        </w:rPr>
        <w:sectPr>
          <w:footerReference r:id="rId4" w:type="default"/>
          <w:pgSz w:w="11907" w:h="16840"/>
          <w:pgMar w:top="1247" w:right="1417" w:bottom="1247" w:left="1417" w:header="851" w:footer="992" w:gutter="0"/>
          <w:pgNumType w:start="1"/>
          <w:cols w:space="0" w:num="1"/>
          <w:rtlGutter w:val="0"/>
          <w:docGrid w:linePitch="303" w:charSpace="0"/>
        </w:sectPr>
      </w:pPr>
    </w:p>
    <w:p>
      <w:pPr>
        <w:pStyle w:val="5"/>
        <w:spacing w:line="240" w:lineRule="auto"/>
        <w:jc w:val="center"/>
        <w:rPr>
          <w:rFonts w:hint="eastAsia" w:ascii="宋体" w:hAnsi="宋体" w:eastAsia="宋体" w:cs="宋体"/>
          <w:color w:val="auto"/>
          <w:sz w:val="36"/>
          <w:szCs w:val="36"/>
          <w:highlight w:val="none"/>
        </w:rPr>
      </w:pPr>
      <w:bookmarkStart w:id="18" w:name="_Toc392686289"/>
      <w:bookmarkStart w:id="19" w:name="_Toc3672_WPSOffice_Level1"/>
      <w:bookmarkStart w:id="20" w:name="_Toc8599_WPSOffice_Level1"/>
      <w:bookmarkStart w:id="21" w:name="_Toc15884_WPSOffice_Level1"/>
      <w:bookmarkStart w:id="22" w:name="_Toc4698"/>
      <w:r>
        <w:rPr>
          <w:rFonts w:hint="eastAsia" w:ascii="宋体" w:hAnsi="宋体" w:eastAsia="宋体" w:cs="宋体"/>
          <w:color w:val="auto"/>
          <w:sz w:val="36"/>
          <w:szCs w:val="36"/>
          <w:highlight w:val="none"/>
        </w:rPr>
        <w:t>第一章  竞争性磋商公告</w:t>
      </w:r>
      <w:bookmarkEnd w:id="18"/>
      <w:bookmarkEnd w:id="19"/>
      <w:bookmarkEnd w:id="20"/>
      <w:bookmarkEnd w:id="21"/>
      <w:bookmarkEnd w:id="22"/>
    </w:p>
    <w:p>
      <w:pPr>
        <w:jc w:val="center"/>
        <w:rPr>
          <w:rFonts w:hint="eastAsia" w:ascii="宋体" w:hAnsi="宋体" w:cs="宋体"/>
          <w:b/>
          <w:color w:val="auto"/>
          <w:sz w:val="30"/>
          <w:szCs w:val="30"/>
          <w:highlight w:val="none"/>
          <w:lang w:eastAsia="zh-CN"/>
        </w:rPr>
      </w:pPr>
      <w:bookmarkStart w:id="23" w:name="OLE_LINK3"/>
      <w:r>
        <w:rPr>
          <w:rFonts w:hint="eastAsia" w:ascii="宋体" w:hAnsi="宋体" w:cs="宋体"/>
          <w:b/>
          <w:color w:val="auto"/>
          <w:sz w:val="30"/>
          <w:szCs w:val="30"/>
          <w:highlight w:val="none"/>
          <w:lang w:eastAsia="zh-CN"/>
        </w:rPr>
        <w:t>阜阳市发展和改革委员会“十四五”规划前期课题研究</w:t>
      </w:r>
    </w:p>
    <w:p>
      <w:pPr>
        <w:jc w:val="center"/>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服务单位采购项目</w:t>
      </w:r>
      <w:r>
        <w:rPr>
          <w:rFonts w:hint="eastAsia" w:ascii="宋体" w:hAnsi="宋体" w:eastAsia="宋体" w:cs="宋体"/>
          <w:b/>
          <w:color w:val="auto"/>
          <w:sz w:val="30"/>
          <w:szCs w:val="30"/>
          <w:highlight w:val="none"/>
        </w:rPr>
        <w:t>竞争性磋商公告</w:t>
      </w:r>
    </w:p>
    <w:p>
      <w:pPr>
        <w:pStyle w:val="2"/>
        <w:rPr>
          <w:rFonts w:hint="eastAsia"/>
          <w:color w:val="auto"/>
        </w:rPr>
      </w:pPr>
    </w:p>
    <w:bookmarkEnd w:id="23"/>
    <w:p>
      <w:pPr>
        <w:widowControl/>
        <w:shd w:val="clear" w:color="auto" w:fill="FFFFFF"/>
        <w:spacing w:line="58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安徽新天源建设咨询有限公司</w:t>
      </w:r>
      <w:r>
        <w:rPr>
          <w:rFonts w:hint="eastAsia" w:asciiTheme="minorEastAsia" w:hAnsiTheme="minorEastAsia" w:eastAsiaTheme="minorEastAsia" w:cstheme="minorEastAsia"/>
          <w:color w:val="auto"/>
          <w:kern w:val="0"/>
          <w:sz w:val="24"/>
          <w:szCs w:val="24"/>
        </w:rPr>
        <w:t>受</w:t>
      </w:r>
      <w:r>
        <w:rPr>
          <w:rFonts w:hint="eastAsia" w:asciiTheme="minorEastAsia" w:hAnsiTheme="minorEastAsia" w:eastAsiaTheme="minorEastAsia" w:cstheme="minorEastAsia"/>
          <w:color w:val="auto"/>
          <w:kern w:val="0"/>
          <w:sz w:val="24"/>
          <w:szCs w:val="24"/>
          <w:u w:val="single"/>
        </w:rPr>
        <w:t>阜阳市发展和改革委员会</w:t>
      </w:r>
      <w:r>
        <w:rPr>
          <w:rFonts w:hint="eastAsia" w:asciiTheme="minorEastAsia" w:hAnsiTheme="minorEastAsia" w:eastAsiaTheme="minorEastAsia" w:cstheme="minorEastAsia"/>
          <w:color w:val="auto"/>
          <w:kern w:val="0"/>
          <w:sz w:val="24"/>
          <w:szCs w:val="24"/>
        </w:rPr>
        <w:t>的委托，现对</w:t>
      </w:r>
      <w:r>
        <w:rPr>
          <w:rFonts w:hint="eastAsia" w:asciiTheme="minorEastAsia" w:hAnsiTheme="minorEastAsia" w:eastAsiaTheme="minorEastAsia" w:cstheme="minorEastAsia"/>
          <w:color w:val="auto"/>
          <w:kern w:val="0"/>
          <w:sz w:val="24"/>
          <w:szCs w:val="24"/>
          <w:u w:val="single"/>
        </w:rPr>
        <w:t>阜阳市发展和改革委员会“十四五”规划前期课题研究服务单位采购项目</w:t>
      </w:r>
      <w:r>
        <w:rPr>
          <w:rFonts w:hint="eastAsia" w:asciiTheme="minorEastAsia" w:hAnsiTheme="minorEastAsia" w:eastAsiaTheme="minorEastAsia" w:cstheme="minorEastAsia"/>
          <w:color w:val="auto"/>
          <w:kern w:val="0"/>
          <w:sz w:val="24"/>
          <w:szCs w:val="24"/>
        </w:rPr>
        <w:t>进行竞争性磋商，欢迎具备条件的国内供应商参加磋商。</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一、项目名称及内容</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1、项目编号：XTYZB2019-</w:t>
      </w:r>
      <w:r>
        <w:rPr>
          <w:rFonts w:hint="eastAsia" w:asciiTheme="minorEastAsia" w:hAnsiTheme="minorEastAsia" w:eastAsiaTheme="minorEastAsia" w:cstheme="minorEastAsia"/>
          <w:color w:val="auto"/>
          <w:kern w:val="0"/>
          <w:sz w:val="24"/>
          <w:szCs w:val="24"/>
          <w:lang w:val="en-US" w:eastAsia="zh-CN"/>
        </w:rPr>
        <w:t>438</w:t>
      </w:r>
      <w:r>
        <w:rPr>
          <w:rFonts w:hint="eastAsia" w:asciiTheme="minorEastAsia" w:hAnsiTheme="minorEastAsia" w:eastAsiaTheme="minorEastAsia" w:cstheme="minorEastAsia"/>
          <w:color w:val="auto"/>
          <w:kern w:val="0"/>
          <w:sz w:val="24"/>
          <w:szCs w:val="24"/>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2、项目名称：阜阳市发展和改革委员会“十四五”规划前期课题研究服务单位采购项目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3、项目单位：阜阳市发展和改革委员会</w:t>
      </w:r>
      <w:r>
        <w:rPr>
          <w:rFonts w:hint="eastAsia" w:asciiTheme="minorEastAsia" w:hAnsiTheme="minorEastAsia" w:eastAsiaTheme="minorEastAsia" w:cstheme="minorEastAsia"/>
          <w:i/>
          <w:iCs/>
          <w:color w:val="auto"/>
          <w:kern w:val="0"/>
          <w:sz w:val="24"/>
          <w:szCs w:val="24"/>
        </w:rPr>
        <w:t xml:space="preserve"> </w:t>
      </w:r>
      <w:r>
        <w:rPr>
          <w:rFonts w:hint="eastAsia" w:asciiTheme="minorEastAsia" w:hAnsiTheme="minorEastAsia" w:eastAsiaTheme="minorEastAsia" w:cstheme="minorEastAsia"/>
          <w:color w:val="auto"/>
          <w:kern w:val="0"/>
          <w:sz w:val="24"/>
          <w:szCs w:val="24"/>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4、资金来源：财政资金</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5、项目预算：90万元</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color w:val="auto"/>
          <w:kern w:val="0"/>
          <w:sz w:val="24"/>
          <w:szCs w:val="24"/>
          <w:lang w:eastAsia="zh-CN"/>
        </w:rPr>
        <w:t>标包</w:t>
      </w:r>
      <w:r>
        <w:rPr>
          <w:rFonts w:hint="eastAsia" w:asciiTheme="minorEastAsia" w:hAnsiTheme="minorEastAsia" w:eastAsiaTheme="minorEastAsia" w:cstheme="minorEastAsia"/>
          <w:color w:val="auto"/>
          <w:kern w:val="0"/>
          <w:sz w:val="24"/>
          <w:szCs w:val="24"/>
        </w:rPr>
        <w:t>（包别）划分：</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个包别</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1标包：</w:t>
      </w:r>
      <w:r>
        <w:rPr>
          <w:rFonts w:hint="eastAsia" w:asciiTheme="minorEastAsia" w:hAnsiTheme="minorEastAsia" w:eastAsiaTheme="minorEastAsia" w:cstheme="minorEastAsia"/>
          <w:color w:val="auto"/>
          <w:kern w:val="0"/>
          <w:sz w:val="24"/>
          <w:szCs w:val="24"/>
        </w:rPr>
        <w:t>阜阳市“十四五”融入长三角一体化发展研究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2标包：</w:t>
      </w:r>
      <w:r>
        <w:rPr>
          <w:rFonts w:hint="eastAsia" w:asciiTheme="minorEastAsia" w:hAnsiTheme="minorEastAsia" w:eastAsiaTheme="minorEastAsia" w:cstheme="minorEastAsia"/>
          <w:color w:val="auto"/>
          <w:kern w:val="0"/>
          <w:sz w:val="24"/>
          <w:szCs w:val="24"/>
        </w:rPr>
        <w:t>阜阳市“十四五”促进创新驱动发展研究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3标包：</w:t>
      </w:r>
      <w:r>
        <w:rPr>
          <w:rFonts w:hint="eastAsia" w:asciiTheme="minorEastAsia" w:hAnsiTheme="minorEastAsia" w:eastAsiaTheme="minorEastAsia" w:cstheme="minorEastAsia"/>
          <w:color w:val="auto"/>
          <w:kern w:val="0"/>
          <w:sz w:val="24"/>
          <w:szCs w:val="24"/>
        </w:rPr>
        <w:t>阜阳市“十四五”推动更高水平对外开放研究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4标包：</w:t>
      </w:r>
      <w:r>
        <w:rPr>
          <w:rFonts w:hint="eastAsia" w:asciiTheme="minorEastAsia" w:hAnsiTheme="minorEastAsia" w:eastAsiaTheme="minorEastAsia" w:cstheme="minorEastAsia"/>
          <w:color w:val="auto"/>
          <w:kern w:val="0"/>
          <w:sz w:val="24"/>
          <w:szCs w:val="24"/>
        </w:rPr>
        <w:t>阜阳市“十四五”加快承接产业转移集聚区建设研究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5标包：</w:t>
      </w:r>
      <w:r>
        <w:rPr>
          <w:rFonts w:hint="eastAsia" w:asciiTheme="minorEastAsia" w:hAnsiTheme="minorEastAsia" w:eastAsiaTheme="minorEastAsia" w:cstheme="minorEastAsia"/>
          <w:color w:val="auto"/>
          <w:kern w:val="0"/>
          <w:sz w:val="24"/>
          <w:szCs w:val="24"/>
        </w:rPr>
        <w:t>阜阳市“十四五”推进基本公共服务均等化目标任务研究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6标包：</w:t>
      </w:r>
      <w:r>
        <w:rPr>
          <w:rFonts w:hint="eastAsia" w:asciiTheme="minorEastAsia" w:hAnsiTheme="minorEastAsia" w:eastAsiaTheme="minorEastAsia" w:cstheme="minorEastAsia"/>
          <w:color w:val="auto"/>
          <w:kern w:val="0"/>
          <w:sz w:val="24"/>
          <w:szCs w:val="24"/>
        </w:rPr>
        <w:t>阜阳市“十四五”推动服务业上规模、提质量总体思路研究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7标包：</w:t>
      </w:r>
      <w:r>
        <w:rPr>
          <w:rFonts w:hint="eastAsia" w:asciiTheme="minorEastAsia" w:hAnsiTheme="minorEastAsia" w:eastAsiaTheme="minorEastAsia" w:cstheme="minorEastAsia"/>
          <w:color w:val="auto"/>
          <w:kern w:val="0"/>
          <w:sz w:val="24"/>
          <w:szCs w:val="24"/>
        </w:rPr>
        <w:t>阜阳市“十四五”促进消费升级政策研究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8标包：</w:t>
      </w:r>
      <w:r>
        <w:rPr>
          <w:rFonts w:hint="eastAsia" w:asciiTheme="minorEastAsia" w:hAnsiTheme="minorEastAsia" w:eastAsiaTheme="minorEastAsia" w:cstheme="minorEastAsia"/>
          <w:color w:val="auto"/>
          <w:kern w:val="0"/>
          <w:sz w:val="24"/>
          <w:szCs w:val="24"/>
        </w:rPr>
        <w:t>阜阳市“十四五”民营经济发展研究</w:t>
      </w:r>
      <w:r>
        <w:rPr>
          <w:rFonts w:hint="eastAsia" w:asciiTheme="minorEastAsia" w:hAnsiTheme="minorEastAsia" w:eastAsiaTheme="minorEastAsia" w:cstheme="minorEastAsia"/>
          <w:color w:val="auto"/>
          <w:kern w:val="0"/>
          <w:sz w:val="24"/>
          <w:szCs w:val="24"/>
          <w:lang w:eastAsia="zh-CN"/>
        </w:rPr>
        <w:t>；第</w:t>
      </w:r>
      <w:r>
        <w:rPr>
          <w:rFonts w:hint="eastAsia" w:asciiTheme="minorEastAsia" w:hAnsiTheme="minorEastAsia" w:eastAsiaTheme="minorEastAsia" w:cstheme="minorEastAsia"/>
          <w:color w:val="auto"/>
          <w:kern w:val="0"/>
          <w:sz w:val="24"/>
          <w:szCs w:val="24"/>
          <w:lang w:val="en-US" w:eastAsia="zh-CN"/>
        </w:rPr>
        <w:t>9标包：</w:t>
      </w:r>
      <w:r>
        <w:rPr>
          <w:rFonts w:hint="eastAsia" w:asciiTheme="minorEastAsia" w:hAnsiTheme="minorEastAsia" w:eastAsiaTheme="minorEastAsia" w:cstheme="minorEastAsia"/>
          <w:color w:val="auto"/>
          <w:kern w:val="0"/>
          <w:sz w:val="24"/>
          <w:szCs w:val="24"/>
        </w:rPr>
        <w:t>阜阳市“十四五”就业优先战略研究</w:t>
      </w:r>
      <w:r>
        <w:rPr>
          <w:rFonts w:hint="eastAsia" w:asciiTheme="minorEastAsia" w:hAnsiTheme="minorEastAsia" w:eastAsiaTheme="minorEastAsia" w:cstheme="minorEastAsia"/>
          <w:color w:val="auto"/>
          <w:kern w:val="0"/>
          <w:sz w:val="24"/>
          <w:szCs w:val="24"/>
          <w:lang w:eastAsia="zh-CN"/>
        </w:rPr>
        <w:t>。</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二、供应商资格</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1、供应商是具有履行合同所必需的专业技术能力的高等院校、科研机构、社会组织、咨询机构、政府机构、研究机构、组织机构或企事业单位。</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2、提供有效的营业执照或组织机构代码证</w:t>
      </w:r>
      <w:r>
        <w:rPr>
          <w:rFonts w:hint="eastAsia" w:asciiTheme="minorEastAsia" w:hAnsiTheme="minorEastAsia" w:eastAsiaTheme="minorEastAsia" w:cstheme="minorEastAsia"/>
          <w:color w:val="auto"/>
          <w:kern w:val="0"/>
          <w:sz w:val="24"/>
          <w:szCs w:val="24"/>
          <w:lang w:eastAsia="zh-CN"/>
        </w:rPr>
        <w:t>或</w:t>
      </w:r>
      <w:r>
        <w:rPr>
          <w:rFonts w:hint="eastAsia" w:asciiTheme="minorEastAsia" w:hAnsiTheme="minorEastAsia" w:eastAsiaTheme="minorEastAsia" w:cstheme="minorEastAsia"/>
          <w:color w:val="auto"/>
          <w:kern w:val="0"/>
          <w:sz w:val="24"/>
          <w:szCs w:val="24"/>
        </w:rPr>
        <w:t>统一社会信用代码；</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3、本项目不接受联合体</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，必须具备独立完成本项目的能力。</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4、供应商</w:t>
      </w:r>
      <w:r>
        <w:rPr>
          <w:rFonts w:hint="eastAsia" w:asciiTheme="minorEastAsia" w:hAnsiTheme="minorEastAsia" w:eastAsiaTheme="minorEastAsia" w:cstheme="minorEastAsia"/>
          <w:color w:val="auto"/>
          <w:kern w:val="0"/>
          <w:sz w:val="24"/>
          <w:szCs w:val="24"/>
          <w:lang w:eastAsia="zh-CN"/>
        </w:rPr>
        <w:t>应</w:t>
      </w:r>
      <w:r>
        <w:rPr>
          <w:rFonts w:hint="eastAsia" w:asciiTheme="minorEastAsia" w:hAnsiTheme="minorEastAsia" w:eastAsiaTheme="minorEastAsia" w:cstheme="minorEastAsia"/>
          <w:color w:val="auto"/>
          <w:kern w:val="0"/>
          <w:sz w:val="24"/>
          <w:szCs w:val="24"/>
        </w:rPr>
        <w:t>具有相关课题的研究基础、研究经验和研究成果，近五年</w:t>
      </w:r>
      <w:r>
        <w:rPr>
          <w:rFonts w:hint="eastAsia" w:asciiTheme="minorEastAsia" w:hAnsiTheme="minorEastAsia" w:eastAsiaTheme="minorEastAsia" w:cstheme="minorEastAsia"/>
          <w:color w:val="auto"/>
          <w:kern w:val="0"/>
          <w:sz w:val="24"/>
          <w:szCs w:val="24"/>
          <w:lang w:eastAsia="zh-CN"/>
        </w:rPr>
        <w:t>（自公告发布之日起向前追溯五年，以合同签订时间为准）</w:t>
      </w:r>
      <w:r>
        <w:rPr>
          <w:rFonts w:hint="eastAsia" w:asciiTheme="minorEastAsia" w:hAnsiTheme="minorEastAsia" w:eastAsiaTheme="minorEastAsia" w:cstheme="minorEastAsia"/>
          <w:color w:val="auto"/>
          <w:kern w:val="0"/>
          <w:sz w:val="24"/>
          <w:szCs w:val="24"/>
        </w:rPr>
        <w:t>承担</w:t>
      </w:r>
      <w:r>
        <w:rPr>
          <w:rFonts w:hint="eastAsia" w:asciiTheme="minorEastAsia" w:hAnsiTheme="minorEastAsia" w:eastAsiaTheme="minorEastAsia" w:cstheme="minorEastAsia"/>
          <w:color w:val="auto"/>
          <w:kern w:val="0"/>
          <w:sz w:val="24"/>
          <w:szCs w:val="24"/>
          <w:lang w:eastAsia="zh-CN"/>
        </w:rPr>
        <w:t>过</w:t>
      </w:r>
      <w:r>
        <w:rPr>
          <w:rFonts w:hint="eastAsia" w:asciiTheme="minorEastAsia" w:hAnsiTheme="minorEastAsia" w:eastAsiaTheme="minorEastAsia" w:cstheme="minorEastAsia"/>
          <w:color w:val="auto"/>
          <w:kern w:val="0"/>
          <w:sz w:val="24"/>
          <w:szCs w:val="24"/>
        </w:rPr>
        <w:t>市级</w:t>
      </w:r>
      <w:r>
        <w:rPr>
          <w:rFonts w:hint="eastAsia" w:asciiTheme="minorEastAsia" w:hAnsiTheme="minorEastAsia" w:eastAsiaTheme="minorEastAsia" w:cstheme="minorEastAsia"/>
          <w:color w:val="auto"/>
          <w:kern w:val="0"/>
          <w:sz w:val="24"/>
          <w:szCs w:val="24"/>
          <w:lang w:eastAsia="zh-CN"/>
        </w:rPr>
        <w:t>及以上相关研究课题（提供合同复印件）。</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5、供应商存在以下不良信用记录情形之一的，不得推荐为成交候选供应商，不得确定为成交供应商：</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（1）供应商被人民法院列入失信被执行人的；</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（2）供应商或其法定代表人或拟派项目经理（项目负责人）被人民检察院列入行贿犯罪档案的；</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（3）供应商被工商行政管理部门列入企业经营异常名录的；</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（4）供应商被税务部门列入重大税收违法案件当事人名单的；</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（5）供应商被政府采购监管部门列入政府采购严重违法失信行为记录名单的；</w:t>
      </w:r>
    </w:p>
    <w:p>
      <w:pPr>
        <w:widowControl/>
        <w:shd w:val="clear" w:color="auto" w:fill="FFFFFF"/>
        <w:spacing w:line="58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color w:val="auto"/>
          <w:spacing w:val="-6"/>
          <w:kern w:val="0"/>
          <w:sz w:val="24"/>
          <w:szCs w:val="24"/>
        </w:rPr>
        <w:t>供应商被“信用中国”网站（www.creditchina.gov.cn）</w:t>
      </w:r>
      <w:r>
        <w:rPr>
          <w:rFonts w:hint="eastAsia" w:asciiTheme="minorEastAsia" w:hAnsiTheme="minorEastAsia" w:eastAsiaTheme="minorEastAsia" w:cstheme="minorEastAsia"/>
          <w:color w:val="auto"/>
          <w:kern w:val="0"/>
          <w:sz w:val="24"/>
          <w:szCs w:val="24"/>
        </w:rPr>
        <w:t>和 “中国政府采购网”网站（www.ccgp.gov.cn）列入失信被执行人、重大税收违法案件当事人名单、政府采购严重失信行为记录名单。</w:t>
      </w:r>
    </w:p>
    <w:p>
      <w:pPr>
        <w:widowControl/>
        <w:shd w:val="clear" w:color="auto" w:fill="FFFFFF"/>
        <w:spacing w:line="58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各投标供应商均可就本</w:t>
      </w:r>
      <w:r>
        <w:rPr>
          <w:rFonts w:hint="eastAsia" w:asciiTheme="minorEastAsia" w:hAnsiTheme="minorEastAsia" w:eastAsiaTheme="minorEastAsia" w:cstheme="minorEastAsia"/>
          <w:color w:val="auto"/>
          <w:kern w:val="0"/>
          <w:sz w:val="24"/>
          <w:szCs w:val="24"/>
          <w:lang w:eastAsia="zh-CN"/>
        </w:rPr>
        <w:t>采购</w:t>
      </w:r>
      <w:r>
        <w:rPr>
          <w:rFonts w:hint="eastAsia" w:asciiTheme="minorEastAsia" w:hAnsiTheme="minorEastAsia" w:eastAsiaTheme="minorEastAsia" w:cstheme="minorEastAsia"/>
          <w:color w:val="auto"/>
          <w:kern w:val="0"/>
          <w:sz w:val="24"/>
          <w:szCs w:val="24"/>
        </w:rPr>
        <w:t>项目上述</w:t>
      </w:r>
      <w:r>
        <w:rPr>
          <w:rFonts w:hint="eastAsia" w:asciiTheme="minorEastAsia" w:hAnsiTheme="minorEastAsia" w:eastAsiaTheme="minorEastAsia" w:cstheme="minorEastAsia"/>
          <w:color w:val="auto"/>
          <w:kern w:val="0"/>
          <w:sz w:val="24"/>
          <w:szCs w:val="24"/>
          <w:lang w:val="en-US" w:eastAsia="zh-CN"/>
        </w:rPr>
        <w:t>标包</w:t>
      </w:r>
      <w:r>
        <w:rPr>
          <w:rFonts w:hint="eastAsia" w:asciiTheme="minorEastAsia" w:hAnsiTheme="minorEastAsia" w:eastAsiaTheme="minorEastAsia" w:cstheme="minorEastAsia"/>
          <w:color w:val="auto"/>
          <w:kern w:val="0"/>
          <w:sz w:val="24"/>
          <w:szCs w:val="24"/>
        </w:rPr>
        <w:t>中的</w:t>
      </w:r>
      <w:r>
        <w:rPr>
          <w:rFonts w:hint="eastAsia" w:asciiTheme="minorEastAsia" w:hAnsiTheme="minorEastAsia" w:eastAsiaTheme="minorEastAsia" w:cstheme="minorEastAsia"/>
          <w:color w:val="auto"/>
          <w:kern w:val="0"/>
          <w:sz w:val="24"/>
          <w:szCs w:val="24"/>
          <w:u w:val="single"/>
          <w:lang w:val="en-US" w:eastAsia="zh-CN"/>
        </w:rPr>
        <w:t>9</w:t>
      </w:r>
      <w:r>
        <w:rPr>
          <w:rFonts w:hint="eastAsia" w:asciiTheme="minorEastAsia" w:hAnsiTheme="minorEastAsia" w:eastAsiaTheme="minorEastAsia" w:cstheme="minorEastAsia"/>
          <w:color w:val="auto"/>
          <w:kern w:val="0"/>
          <w:sz w:val="24"/>
          <w:szCs w:val="24"/>
        </w:rPr>
        <w:t>个</w:t>
      </w:r>
      <w:r>
        <w:rPr>
          <w:rFonts w:hint="eastAsia" w:asciiTheme="minorEastAsia" w:hAnsiTheme="minorEastAsia" w:eastAsiaTheme="minorEastAsia" w:cstheme="minorEastAsia"/>
          <w:color w:val="auto"/>
          <w:kern w:val="0"/>
          <w:sz w:val="24"/>
          <w:szCs w:val="24"/>
          <w:lang w:val="en-US" w:eastAsia="zh-CN"/>
        </w:rPr>
        <w:t>标包</w:t>
      </w:r>
      <w:r>
        <w:rPr>
          <w:rFonts w:hint="eastAsia" w:asciiTheme="minorEastAsia" w:hAnsiTheme="minorEastAsia" w:eastAsiaTheme="minorEastAsia" w:cstheme="minorEastAsia"/>
          <w:color w:val="auto"/>
          <w:kern w:val="0"/>
          <w:sz w:val="24"/>
          <w:szCs w:val="24"/>
        </w:rPr>
        <w:t>投标，但</w:t>
      </w:r>
      <w:r>
        <w:rPr>
          <w:rFonts w:hint="eastAsia" w:asciiTheme="minorEastAsia" w:hAnsiTheme="minorEastAsia" w:eastAsiaTheme="minorEastAsia" w:cstheme="minorEastAsia"/>
          <w:color w:val="auto"/>
          <w:kern w:val="0"/>
          <w:sz w:val="24"/>
          <w:szCs w:val="24"/>
          <w:lang w:eastAsia="zh-CN"/>
        </w:rPr>
        <w:t>依序</w:t>
      </w:r>
      <w:r>
        <w:rPr>
          <w:rFonts w:hint="eastAsia" w:asciiTheme="minorEastAsia" w:hAnsiTheme="minorEastAsia" w:eastAsiaTheme="minorEastAsia" w:cstheme="minorEastAsia"/>
          <w:color w:val="auto"/>
          <w:kern w:val="0"/>
          <w:sz w:val="24"/>
          <w:szCs w:val="24"/>
        </w:rPr>
        <w:t>最多允许</w:t>
      </w:r>
      <w:r>
        <w:rPr>
          <w:rFonts w:hint="eastAsia" w:asciiTheme="minorEastAsia" w:hAnsiTheme="minorEastAsia" w:eastAsiaTheme="minorEastAsia" w:cstheme="minorEastAsia"/>
          <w:color w:val="auto"/>
          <w:kern w:val="0"/>
          <w:sz w:val="24"/>
          <w:szCs w:val="24"/>
          <w:lang w:eastAsia="zh-CN"/>
        </w:rPr>
        <w:t>成交</w:t>
      </w:r>
      <w:r>
        <w:rPr>
          <w:rFonts w:hint="eastAsia" w:asciiTheme="minorEastAsia" w:hAnsiTheme="minorEastAsia" w:eastAsiaTheme="minorEastAsia" w:cstheme="minorEastAsia"/>
          <w:color w:val="auto"/>
          <w:kern w:val="0"/>
          <w:sz w:val="24"/>
          <w:szCs w:val="24"/>
          <w:u w:val="single"/>
          <w:lang w:val="en-US" w:eastAsia="zh-CN"/>
        </w:rPr>
        <w:t>3</w:t>
      </w:r>
      <w:r>
        <w:rPr>
          <w:rFonts w:hint="eastAsia" w:asciiTheme="minorEastAsia" w:hAnsiTheme="minorEastAsia" w:eastAsiaTheme="minorEastAsia" w:cstheme="minorEastAsia"/>
          <w:color w:val="auto"/>
          <w:kern w:val="0"/>
          <w:sz w:val="24"/>
          <w:szCs w:val="24"/>
        </w:rPr>
        <w:t>个</w:t>
      </w:r>
      <w:r>
        <w:rPr>
          <w:rFonts w:hint="eastAsia" w:asciiTheme="minorEastAsia" w:hAnsiTheme="minorEastAsia" w:eastAsiaTheme="minorEastAsia" w:cstheme="minorEastAsia"/>
          <w:color w:val="auto"/>
          <w:kern w:val="0"/>
          <w:sz w:val="24"/>
          <w:szCs w:val="24"/>
          <w:lang w:val="en-US" w:eastAsia="zh-CN"/>
        </w:rPr>
        <w:t>标包</w:t>
      </w:r>
      <w:r>
        <w:rPr>
          <w:rFonts w:hint="eastAsia" w:asciiTheme="minorEastAsia" w:hAnsiTheme="minorEastAsia" w:eastAsiaTheme="minorEastAsia" w:cstheme="minorEastAsia"/>
          <w:color w:val="auto"/>
          <w:kern w:val="0"/>
          <w:sz w:val="24"/>
          <w:szCs w:val="24"/>
        </w:rPr>
        <w:t>。</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三、报名及磋商文件发售办法</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1、凡有意参加投标者，即日起可在阜阳市公共资源交易网（http://jyzx.fy.gov.cn）网站下载磋商文件。</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2、磋商文件费用：报名并购买磋商文件费用每标</w:t>
      </w:r>
      <w:r>
        <w:rPr>
          <w:rFonts w:hint="eastAsia" w:asciiTheme="minorEastAsia" w:hAnsiTheme="minorEastAsia" w:eastAsiaTheme="minorEastAsia" w:cstheme="minorEastAsia"/>
          <w:color w:val="auto"/>
          <w:kern w:val="0"/>
          <w:sz w:val="24"/>
          <w:szCs w:val="24"/>
          <w:lang w:eastAsia="zh-CN"/>
        </w:rPr>
        <w:t>包</w:t>
      </w:r>
      <w:r>
        <w:rPr>
          <w:rFonts w:hint="eastAsia" w:asciiTheme="minorEastAsia" w:hAnsiTheme="minorEastAsia" w:eastAsiaTheme="minorEastAsia" w:cstheme="minorEastAsia"/>
          <w:color w:val="auto"/>
          <w:kern w:val="0"/>
          <w:sz w:val="24"/>
          <w:szCs w:val="24"/>
        </w:rPr>
        <w:t>300元，售后不退。供应商须在开标前1小时内到开标现场交纳费用并领取收据，未提交收据的供应商，采购人将拒绝接收其响应文件。</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四、磋商时间及地点</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1、磋商时间：2019年</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日9时00分</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2、磋商地点：安徽新天源建设咨询有限公司</w:t>
      </w:r>
      <w:r>
        <w:rPr>
          <w:rFonts w:hint="eastAsia" w:asciiTheme="minorEastAsia" w:hAnsiTheme="minorEastAsia" w:eastAsiaTheme="minorEastAsia" w:cstheme="minorEastAsia"/>
          <w:color w:val="auto"/>
          <w:kern w:val="0"/>
          <w:sz w:val="24"/>
          <w:szCs w:val="24"/>
          <w:lang w:eastAsia="zh-CN"/>
        </w:rPr>
        <w:t>一号</w:t>
      </w:r>
      <w:r>
        <w:rPr>
          <w:rFonts w:hint="eastAsia" w:asciiTheme="minorEastAsia" w:hAnsiTheme="minorEastAsia" w:eastAsiaTheme="minorEastAsia" w:cstheme="minorEastAsia"/>
          <w:color w:val="auto"/>
          <w:kern w:val="0"/>
          <w:sz w:val="24"/>
          <w:szCs w:val="24"/>
        </w:rPr>
        <w:t xml:space="preserve">会议室（阜阳市颍州区金悦金融中心写字楼B栋11楼）                    </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五、</w:t>
      </w:r>
      <w:r>
        <w:rPr>
          <w:rFonts w:hint="eastAsia" w:asciiTheme="minorEastAsia" w:hAnsiTheme="minorEastAsia" w:eastAsiaTheme="minorEastAsia" w:cstheme="minorEastAsia"/>
          <w:b/>
          <w:bCs w:val="0"/>
          <w:color w:val="auto"/>
          <w:kern w:val="0"/>
          <w:sz w:val="24"/>
          <w:szCs w:val="24"/>
          <w:lang w:eastAsia="zh-CN"/>
        </w:rPr>
        <w:t>响应</w:t>
      </w:r>
      <w:r>
        <w:rPr>
          <w:rFonts w:hint="eastAsia" w:asciiTheme="minorEastAsia" w:hAnsiTheme="minorEastAsia" w:eastAsiaTheme="minorEastAsia" w:cstheme="minorEastAsia"/>
          <w:b/>
          <w:bCs w:val="0"/>
          <w:color w:val="auto"/>
          <w:kern w:val="0"/>
          <w:sz w:val="24"/>
          <w:szCs w:val="24"/>
        </w:rPr>
        <w:t>文件提交时间、截止时间及地点</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1、响应文件提交时间：响应文件提交截止时间前1小时内。</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2、响应文件递交的截止时间：同磋商时间。</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3、响应文件提交地点：安徽新天源建设咨询有限公司</w:t>
      </w:r>
      <w:r>
        <w:rPr>
          <w:rFonts w:hint="eastAsia" w:asciiTheme="minorEastAsia" w:hAnsiTheme="minorEastAsia" w:eastAsiaTheme="minorEastAsia" w:cstheme="minorEastAsia"/>
          <w:color w:val="auto"/>
          <w:kern w:val="0"/>
          <w:sz w:val="24"/>
          <w:szCs w:val="24"/>
          <w:lang w:eastAsia="zh-CN"/>
        </w:rPr>
        <w:t>一号</w:t>
      </w:r>
      <w:r>
        <w:rPr>
          <w:rFonts w:hint="eastAsia" w:asciiTheme="minorEastAsia" w:hAnsiTheme="minorEastAsia" w:eastAsiaTheme="minorEastAsia" w:cstheme="minorEastAsia"/>
          <w:color w:val="auto"/>
          <w:kern w:val="0"/>
          <w:sz w:val="24"/>
          <w:szCs w:val="24"/>
        </w:rPr>
        <w:t>会议室（阜阳市颍州区金悦金融中心写字楼B栋11楼）</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4、逾期送达的或者未送达指定地点的响应文件，采购人拒绝接受。</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六、联系方法</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 xml:space="preserve">：阜阳市发展和改革委员会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  址：安徽省阜阳市清河东路市政府四楼</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eastAsia="zh-CN"/>
        </w:rPr>
        <w:t>丁主任</w:t>
      </w:r>
      <w:r>
        <w:rPr>
          <w:rFonts w:hint="eastAsia" w:asciiTheme="minorEastAsia" w:hAnsiTheme="minorEastAsia" w:eastAsiaTheme="minorEastAsia" w:cstheme="minorEastAsia"/>
          <w:color w:val="auto"/>
          <w:kern w:val="0"/>
          <w:sz w:val="24"/>
          <w:szCs w:val="24"/>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电话：0558-2266798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（二）采购代理机构：安徽新天源建设咨询有限公司</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地址：阜阳市颍州区金悦金融中心写字楼B栋11楼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联系人：邢工           </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电话：0558-2177133               </w:t>
      </w:r>
    </w:p>
    <w:p>
      <w:pPr>
        <w:widowControl/>
        <w:shd w:val="clear" w:color="auto" w:fill="FFFFFF"/>
        <w:spacing w:line="580" w:lineRule="exact"/>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七、其它事项说明</w:t>
      </w:r>
    </w:p>
    <w:p>
      <w:pPr>
        <w:widowControl/>
        <w:shd w:val="clear" w:color="auto" w:fill="FFFFFF"/>
        <w:spacing w:line="580" w:lineRule="exact"/>
        <w:ind w:firstLine="6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1、本项目其他要求及说明详见磋商文件。</w:t>
      </w:r>
    </w:p>
    <w:p>
      <w:pPr>
        <w:widowControl/>
        <w:shd w:val="clear" w:color="auto" w:fill="FFFFFF"/>
        <w:spacing w:line="580" w:lineRule="exact"/>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2019年7月</w:t>
      </w:r>
      <w:r>
        <w:rPr>
          <w:rFonts w:hint="eastAsia" w:asciiTheme="minorEastAsia" w:hAnsiTheme="minorEastAsia" w:eastAsiaTheme="minorEastAsia" w:cstheme="minorEastAsia"/>
          <w:color w:val="auto"/>
          <w:kern w:val="0"/>
          <w:sz w:val="24"/>
          <w:szCs w:val="24"/>
          <w:lang w:val="en-US" w:eastAsia="zh-CN"/>
        </w:rPr>
        <w:t>24</w:t>
      </w:r>
      <w:r>
        <w:rPr>
          <w:rFonts w:hint="eastAsia" w:asciiTheme="minorEastAsia" w:hAnsiTheme="minorEastAsia" w:eastAsiaTheme="minorEastAsia" w:cstheme="minorEastAsia"/>
          <w:color w:val="auto"/>
          <w:kern w:val="0"/>
          <w:sz w:val="24"/>
          <w:szCs w:val="24"/>
        </w:rPr>
        <w:t>日</w:t>
      </w:r>
    </w:p>
    <w:p>
      <w:pPr>
        <w:rPr>
          <w:b/>
          <w:bCs/>
          <w:color w:val="auto"/>
        </w:rPr>
      </w:pPr>
    </w:p>
    <w:p>
      <w:pPr>
        <w:pStyle w:val="2"/>
        <w:ind w:firstLine="560"/>
        <w:rPr>
          <w:rFonts w:hint="eastAsia" w:ascii="宋体" w:hAnsi="宋体" w:eastAsia="宋体" w:cs="宋体"/>
          <w:color w:val="auto"/>
          <w:sz w:val="28"/>
          <w:szCs w:val="28"/>
          <w:highlight w:val="none"/>
        </w:rPr>
      </w:pPr>
    </w:p>
    <w:p>
      <w:pPr>
        <w:pStyle w:val="5"/>
        <w:spacing w:line="4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24" w:name="_Toc30459_WPSOffice_Level1"/>
      <w:bookmarkStart w:id="25" w:name="_Toc9869_WPSOffice_Level1"/>
      <w:bookmarkStart w:id="26" w:name="_Toc11777"/>
      <w:bookmarkStart w:id="27" w:name="_Toc14089_WPSOffice_Level1"/>
      <w:r>
        <w:rPr>
          <w:rFonts w:hint="eastAsia" w:ascii="宋体" w:hAnsi="宋体" w:eastAsia="宋体" w:cs="宋体"/>
          <w:color w:val="auto"/>
          <w:sz w:val="36"/>
          <w:szCs w:val="36"/>
          <w:highlight w:val="none"/>
        </w:rPr>
        <w:t xml:space="preserve">第二章  </w:t>
      </w:r>
      <w:bookmarkStart w:id="28" w:name="_Hlt519045482"/>
      <w:bookmarkEnd w:id="28"/>
      <w:bookmarkStart w:id="29" w:name="_Hlt519045420"/>
      <w:bookmarkEnd w:id="29"/>
      <w:r>
        <w:rPr>
          <w:rFonts w:hint="eastAsia" w:ascii="宋体" w:hAnsi="宋体" w:eastAsia="宋体" w:cs="宋体"/>
          <w:color w:val="auto"/>
          <w:sz w:val="36"/>
          <w:szCs w:val="36"/>
          <w:highlight w:val="none"/>
        </w:rPr>
        <w:t>供应商须知及前附表</w:t>
      </w:r>
      <w:bookmarkEnd w:id="24"/>
      <w:bookmarkEnd w:id="25"/>
      <w:bookmarkEnd w:id="26"/>
      <w:bookmarkEnd w:id="27"/>
    </w:p>
    <w:p>
      <w:pPr>
        <w:pStyle w:val="6"/>
        <w:spacing w:line="400" w:lineRule="exact"/>
        <w:rPr>
          <w:rFonts w:hint="eastAsia" w:ascii="宋体" w:hAnsi="宋体" w:eastAsia="宋体" w:cs="宋体"/>
          <w:color w:val="auto"/>
          <w:highlight w:val="none"/>
        </w:rPr>
      </w:pPr>
      <w:bookmarkStart w:id="30" w:name="_Toc18908"/>
      <w:bookmarkStart w:id="31" w:name="_Toc19702"/>
      <w:bookmarkStart w:id="32" w:name="_Toc448070710"/>
      <w:r>
        <w:rPr>
          <w:rFonts w:hint="eastAsia" w:ascii="宋体" w:hAnsi="宋体" w:eastAsia="宋体" w:cs="宋体"/>
          <w:color w:val="auto"/>
          <w:highlight w:val="none"/>
        </w:rPr>
        <w:t>一</w:t>
      </w:r>
      <w:bookmarkStart w:id="33" w:name="_Hlt510343011"/>
      <w:bookmarkStart w:id="34" w:name="_Hlt510342998"/>
      <w:r>
        <w:rPr>
          <w:rFonts w:hint="eastAsia" w:ascii="宋体" w:hAnsi="宋体" w:eastAsia="宋体" w:cs="宋体"/>
          <w:color w:val="auto"/>
          <w:highlight w:val="none"/>
        </w:rPr>
        <w:t>、供应商须</w:t>
      </w:r>
      <w:bookmarkEnd w:id="33"/>
      <w:r>
        <w:rPr>
          <w:rFonts w:hint="eastAsia" w:ascii="宋体" w:hAnsi="宋体" w:eastAsia="宋体" w:cs="宋体"/>
          <w:color w:val="auto"/>
          <w:highlight w:val="none"/>
        </w:rPr>
        <w:t>知前</w:t>
      </w:r>
      <w:bookmarkEnd w:id="34"/>
      <w:r>
        <w:rPr>
          <w:rFonts w:hint="eastAsia" w:ascii="宋体" w:hAnsi="宋体" w:eastAsia="宋体" w:cs="宋体"/>
          <w:color w:val="auto"/>
          <w:highlight w:val="none"/>
        </w:rPr>
        <w:t>附表</w:t>
      </w:r>
      <w:bookmarkEnd w:id="30"/>
      <w:bookmarkEnd w:id="31"/>
      <w:bookmarkEnd w:id="32"/>
    </w:p>
    <w:tbl>
      <w:tblPr>
        <w:tblStyle w:val="17"/>
        <w:tblW w:w="10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87"/>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715"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715" w:type="dxa"/>
            <w:vAlign w:val="center"/>
          </w:tcPr>
          <w:p>
            <w:pPr>
              <w:keepNext w:val="0"/>
              <w:keepLines w:val="0"/>
              <w:pageBreakBefore w:val="0"/>
              <w:kinsoku/>
              <w:wordWrap/>
              <w:overflowPunct/>
              <w:topLinePunct w:val="0"/>
              <w:bidi w:val="0"/>
              <w:spacing w:line="440" w:lineRule="exact"/>
              <w:ind w:left="0" w:right="0" w:firstLine="3"/>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 xml:space="preserve">阜阳市发展和改革委员会“十四五”规划前期课题研究服务单位采购项目 </w:t>
            </w:r>
          </w:p>
          <w:p>
            <w:pPr>
              <w:keepNext w:val="0"/>
              <w:keepLines w:val="0"/>
              <w:pageBreakBefore w:val="0"/>
              <w:kinsoku/>
              <w:wordWrap/>
              <w:overflowPunct/>
              <w:topLinePunct w:val="0"/>
              <w:bidi w:val="0"/>
              <w:spacing w:line="440" w:lineRule="exact"/>
              <w:ind w:left="0" w:right="0" w:firstLine="3"/>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项目编号：XTYZB2019-</w:t>
            </w:r>
            <w:r>
              <w:rPr>
                <w:rFonts w:hint="eastAsia" w:ascii="宋体" w:hAnsi="宋体" w:cs="宋体"/>
                <w:color w:val="auto"/>
                <w:sz w:val="24"/>
                <w:szCs w:val="24"/>
                <w:highlight w:val="none"/>
                <w:lang w:val="en-US" w:eastAsia="zh-CN"/>
              </w:rPr>
              <w:t>438</w:t>
            </w: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715" w:type="dxa"/>
            <w:vAlign w:val="center"/>
          </w:tcPr>
          <w:p>
            <w:pPr>
              <w:keepNext w:val="0"/>
              <w:keepLines w:val="0"/>
              <w:pageBreakBefore w:val="0"/>
              <w:kinsoku/>
              <w:wordWrap/>
              <w:overflowPunct/>
              <w:topLinePunct w:val="0"/>
              <w:bidi w:val="0"/>
              <w:spacing w:line="440" w:lineRule="exact"/>
              <w:ind w:left="0" w:right="0" w:hanging="1200" w:hangingChars="5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阜阳市发展和改革委员会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c>
          <w:tcPr>
            <w:tcW w:w="7715" w:type="dxa"/>
            <w:vAlign w:val="center"/>
          </w:tcPr>
          <w:p>
            <w:pPr>
              <w:keepNext w:val="0"/>
              <w:keepLines w:val="0"/>
              <w:pageBreakBefore w:val="0"/>
              <w:kinsoku/>
              <w:wordWrap/>
              <w:overflowPunct/>
              <w:topLinePunct w:val="0"/>
              <w:bidi w:val="0"/>
              <w:spacing w:line="440" w:lineRule="exact"/>
              <w:ind w:left="0" w:right="0" w:firstLine="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715" w:type="dxa"/>
            <w:vAlign w:val="center"/>
          </w:tcPr>
          <w:p>
            <w:pPr>
              <w:keepNext w:val="0"/>
              <w:keepLines w:val="0"/>
              <w:pageBreakBefore w:val="0"/>
              <w:kinsoku/>
              <w:wordWrap/>
              <w:overflowPunct/>
              <w:topLinePunct w:val="0"/>
              <w:bidi w:val="0"/>
              <w:spacing w:line="440" w:lineRule="exact"/>
              <w:ind w:left="636" w:leftChars="0" w:right="0" w:hanging="636" w:hangingChars="26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cs="宋体"/>
                <w:color w:val="auto"/>
                <w:sz w:val="24"/>
                <w:szCs w:val="24"/>
                <w:highlight w:val="none"/>
                <w:lang w:eastAsia="zh-CN"/>
              </w:rPr>
              <w:t>代理机构</w:t>
            </w:r>
            <w:r>
              <w:rPr>
                <w:rFonts w:hint="eastAsia" w:ascii="宋体" w:hAnsi="宋体" w:eastAsia="宋体" w:cs="宋体"/>
                <w:color w:val="auto"/>
                <w:sz w:val="24"/>
                <w:szCs w:val="24"/>
                <w:highlight w:val="none"/>
              </w:rPr>
              <w:t>：安徽新天源建设咨询有限公司</w:t>
            </w:r>
          </w:p>
          <w:p>
            <w:pPr>
              <w:keepNext w:val="0"/>
              <w:keepLines w:val="0"/>
              <w:pageBreakBefore w:val="0"/>
              <w:kinsoku/>
              <w:wordWrap/>
              <w:overflowPunct/>
              <w:topLinePunct w:val="0"/>
              <w:bidi w:val="0"/>
              <w:spacing w:line="440" w:lineRule="exact"/>
              <w:ind w:left="636" w:leftChars="0" w:right="0" w:hanging="636" w:hangingChars="26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址：阜阳市颍州区颍淮大道588号金悦金融中心写字楼B栋11楼</w:t>
            </w:r>
          </w:p>
          <w:p>
            <w:pPr>
              <w:keepNext w:val="0"/>
              <w:keepLines w:val="0"/>
              <w:pageBreakBefore w:val="0"/>
              <w:kinsoku/>
              <w:wordWrap/>
              <w:overflowPunct/>
              <w:topLinePunct w:val="0"/>
              <w:bidi w:val="0"/>
              <w:spacing w:line="440" w:lineRule="exact"/>
              <w:ind w:left="0" w:right="0" w:hanging="1200" w:hanging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张工</w:t>
            </w:r>
            <w:r>
              <w:rPr>
                <w:rFonts w:hint="eastAsia" w:ascii="宋体" w:hAnsi="宋体" w:cs="宋体"/>
                <w:color w:val="auto"/>
                <w:sz w:val="24"/>
                <w:szCs w:val="24"/>
                <w:highlight w:val="none"/>
                <w:lang w:val="en-US" w:eastAsia="zh-CN"/>
              </w:rPr>
              <w:t xml:space="preserve">   邢工</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440" w:lineRule="exact"/>
              <w:ind w:left="0" w:right="0" w:hanging="1200" w:hanging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话：0558-2177133  </w:t>
            </w:r>
          </w:p>
          <w:p>
            <w:pPr>
              <w:keepNext w:val="0"/>
              <w:keepLines w:val="0"/>
              <w:pageBreakBefore w:val="0"/>
              <w:kinsoku/>
              <w:wordWrap/>
              <w:overflowPunct/>
              <w:topLinePunct w:val="0"/>
              <w:bidi w:val="0"/>
              <w:spacing w:line="440" w:lineRule="exact"/>
              <w:ind w:left="0" w:right="0" w:hanging="1200" w:hanging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真：0558-2177133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项目完成期限</w:t>
            </w:r>
          </w:p>
        </w:tc>
        <w:tc>
          <w:tcPr>
            <w:tcW w:w="7715" w:type="dxa"/>
            <w:vAlign w:val="center"/>
          </w:tcPr>
          <w:p>
            <w:pPr>
              <w:keepNext w:val="0"/>
              <w:keepLines w:val="0"/>
              <w:pageBreakBefore w:val="0"/>
              <w:kinsoku/>
              <w:wordWrap/>
              <w:overflowPunct/>
              <w:topLinePunct w:val="0"/>
              <w:bidi w:val="0"/>
              <w:spacing w:line="440" w:lineRule="exact"/>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2019年9月5日前完成全部工作并通过采购人验收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期</w:t>
            </w:r>
          </w:p>
        </w:tc>
        <w:tc>
          <w:tcPr>
            <w:tcW w:w="7715" w:type="dxa"/>
            <w:vAlign w:val="center"/>
          </w:tcPr>
          <w:p>
            <w:pPr>
              <w:pStyle w:val="28"/>
              <w:keepNext w:val="0"/>
              <w:keepLines w:val="0"/>
              <w:pageBreakBefore w:val="0"/>
              <w:kinsoku/>
              <w:wordWrap/>
              <w:overflowPunct/>
              <w:topLinePunct w:val="0"/>
              <w:bidi w:val="0"/>
              <w:spacing w:line="440" w:lineRule="exact"/>
              <w:ind w:left="0" w:leftChars="0" w:righ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lang w:val="en-US" w:eastAsia="zh-CN"/>
              </w:rPr>
              <w:t xml:space="preserve"> 按采</w:t>
            </w:r>
            <w:r>
              <w:rPr>
                <w:rFonts w:hint="eastAsia" w:ascii="宋体" w:hAnsi="宋体" w:eastAsia="宋体" w:cs="宋体"/>
                <w:color w:val="auto"/>
                <w:kern w:val="2"/>
                <w:sz w:val="24"/>
                <w:szCs w:val="24"/>
                <w:highlight w:val="none"/>
                <w:lang w:val="en-US" w:eastAsia="zh-CN" w:bidi="ar-SA"/>
              </w:rPr>
              <w:t>购人约定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竞争性磋商文件范围内所有内容服务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最高投标上限</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最高投标上限：</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val="en-US" w:eastAsia="zh-CN"/>
              </w:rPr>
              <w:t>/标包</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报价高于最高投标限价的，否决其投标。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1、供应商是具有履行合同所必需的专业技术能力的高等院校、科研机构、社会组织、咨询机构、政府机构、研究机构、组织机构或企事业单位。</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2、提供有效的营业执照或组织机构代码证</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统一社会信用代码；</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3、本项目不接受联合体</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，必须具备独立完成本项目的能力。</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具有相关课题的研究基础、研究经验和研究成果，近五年</w:t>
            </w:r>
            <w:r>
              <w:rPr>
                <w:rFonts w:hint="eastAsia" w:ascii="宋体" w:hAnsi="宋体" w:eastAsia="宋体" w:cs="宋体"/>
                <w:color w:val="auto"/>
                <w:sz w:val="24"/>
                <w:szCs w:val="24"/>
                <w:highlight w:val="none"/>
                <w:lang w:eastAsia="zh-CN"/>
              </w:rPr>
              <w:t>（自公告发布之日起向前追溯五年，以合同签订时间为准）</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过</w:t>
            </w:r>
            <w:r>
              <w:rPr>
                <w:rFonts w:hint="eastAsia" w:ascii="宋体" w:hAnsi="宋体" w:eastAsia="宋体" w:cs="宋体"/>
                <w:color w:val="auto"/>
                <w:sz w:val="24"/>
                <w:szCs w:val="24"/>
                <w:highlight w:val="none"/>
              </w:rPr>
              <w:t>市级</w:t>
            </w:r>
            <w:r>
              <w:rPr>
                <w:rFonts w:hint="eastAsia" w:ascii="宋体" w:hAnsi="宋体" w:eastAsia="宋体" w:cs="宋体"/>
                <w:color w:val="auto"/>
                <w:sz w:val="24"/>
                <w:szCs w:val="24"/>
                <w:highlight w:val="none"/>
                <w:lang w:eastAsia="zh-CN"/>
              </w:rPr>
              <w:t>及以上相关研究课题（提供合同复印件）。</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5、供应商存在以下不良信用记录情形之一的，不得推荐为成交候选供应商，不得确定为成交供应商：</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（1）供应商被人民法院列入失信被执行人的；</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（2）供应商或其法定代表人或拟派项目经理（项目负责人）被人民检察院列入行贿犯罪档案的；</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（3）供应商被工商行政管理部门列入企业经营异常名录的；</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（4）供应商被税务部门列入重大税收违法案件当事人名单的；</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（5）供应商被政府采购监管部门列入政府采购严重违法失信行为记录名单的；</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（6）供应商被“信用中国”网站（www.creditchina.gov.cn）和 “中国政府采购网”网站（www.ccgp.gov.cn）列入失信被执行人、重大税收违法案件当事人名单、政府采购严重失信行为记录名单。</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各投标供应商均可就本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项目上述</w:t>
            </w:r>
            <w:r>
              <w:rPr>
                <w:rFonts w:hint="eastAsia" w:ascii="宋体" w:hAnsi="宋体" w:eastAsia="宋体" w:cs="宋体"/>
                <w:color w:val="auto"/>
                <w:sz w:val="24"/>
                <w:szCs w:val="24"/>
                <w:highlight w:val="none"/>
                <w:lang w:val="en-US" w:eastAsia="zh-CN"/>
              </w:rPr>
              <w:t>标包</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val="en-US" w:eastAsia="zh-CN"/>
              </w:rPr>
              <w:t>标包</w:t>
            </w:r>
            <w:r>
              <w:rPr>
                <w:rFonts w:hint="eastAsia" w:ascii="宋体" w:hAnsi="宋体" w:eastAsia="宋体" w:cs="宋体"/>
                <w:color w:val="auto"/>
                <w:sz w:val="24"/>
                <w:szCs w:val="24"/>
                <w:highlight w:val="none"/>
              </w:rPr>
              <w:t>投标，但</w:t>
            </w:r>
            <w:r>
              <w:rPr>
                <w:rFonts w:hint="eastAsia" w:ascii="宋体" w:hAnsi="宋体" w:eastAsia="宋体" w:cs="宋体"/>
                <w:color w:val="auto"/>
                <w:sz w:val="24"/>
                <w:szCs w:val="24"/>
                <w:highlight w:val="none"/>
                <w:lang w:eastAsia="zh-CN"/>
              </w:rPr>
              <w:t>依序</w:t>
            </w:r>
            <w:r>
              <w:rPr>
                <w:rFonts w:hint="eastAsia" w:ascii="宋体" w:hAnsi="宋体" w:eastAsia="宋体" w:cs="宋体"/>
                <w:color w:val="auto"/>
                <w:sz w:val="24"/>
                <w:szCs w:val="24"/>
                <w:highlight w:val="none"/>
              </w:rPr>
              <w:t>最多允许</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val="en-US" w:eastAsia="zh-CN"/>
              </w:rPr>
              <w:t>标包</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是否接受联合体响应</w:t>
            </w:r>
          </w:p>
        </w:tc>
        <w:tc>
          <w:tcPr>
            <w:tcW w:w="7715" w:type="dxa"/>
            <w:vAlign w:val="center"/>
          </w:tcPr>
          <w:p>
            <w:pPr>
              <w:keepNext w:val="0"/>
              <w:keepLines w:val="0"/>
              <w:pageBreakBefore w:val="0"/>
              <w:kinsoku/>
              <w:wordWrap/>
              <w:overflowPunct/>
              <w:topLinePunct w:val="0"/>
              <w:bidi w:val="0"/>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7715" w:type="dxa"/>
            <w:vAlign w:val="center"/>
          </w:tcPr>
          <w:p>
            <w:pPr>
              <w:pStyle w:val="16"/>
              <w:keepNext w:val="0"/>
              <w:keepLines w:val="0"/>
              <w:pageBreakBefore w:val="0"/>
              <w:shd w:val="clear" w:color="auto" w:fill="FFFFFF"/>
              <w:kinsoku/>
              <w:wordWrap/>
              <w:overflowPunct/>
              <w:topLinePunct w:val="0"/>
              <w:bidi w:val="0"/>
              <w:spacing w:before="0" w:beforeAutospacing="0" w:after="0" w:afterAutospacing="0" w:line="44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响应预备会</w:t>
            </w:r>
          </w:p>
        </w:tc>
        <w:tc>
          <w:tcPr>
            <w:tcW w:w="7715" w:type="dxa"/>
            <w:vAlign w:val="center"/>
          </w:tcPr>
          <w:p>
            <w:pPr>
              <w:keepNext w:val="0"/>
              <w:keepLines w:val="0"/>
              <w:pageBreakBefore w:val="0"/>
              <w:kinsoku/>
              <w:wordWrap/>
              <w:overflowPunct/>
              <w:topLinePunct w:val="0"/>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对分包的要求</w:t>
            </w:r>
          </w:p>
        </w:tc>
        <w:tc>
          <w:tcPr>
            <w:tcW w:w="7715" w:type="dxa"/>
            <w:vAlign w:val="center"/>
          </w:tcPr>
          <w:p>
            <w:pPr>
              <w:keepNext w:val="0"/>
              <w:keepLines w:val="0"/>
              <w:pageBreakBefore w:val="0"/>
              <w:kinsoku/>
              <w:wordWrap/>
              <w:overflowPunct/>
              <w:topLinePunct w:val="0"/>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供应商的替代方案</w:t>
            </w:r>
          </w:p>
        </w:tc>
        <w:tc>
          <w:tcPr>
            <w:tcW w:w="7715" w:type="dxa"/>
            <w:vAlign w:val="center"/>
          </w:tcPr>
          <w:p>
            <w:pPr>
              <w:keepNext w:val="0"/>
              <w:keepLines w:val="0"/>
              <w:pageBreakBefore w:val="0"/>
              <w:kinsoku/>
              <w:wordWrap/>
              <w:overflowPunct/>
              <w:topLinePunct w:val="0"/>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7715" w:type="dxa"/>
            <w:vAlign w:val="center"/>
          </w:tcPr>
          <w:p>
            <w:pPr>
              <w:pStyle w:val="28"/>
              <w:keepNext w:val="0"/>
              <w:keepLines w:val="0"/>
              <w:pageBreakBefore w:val="0"/>
              <w:tabs>
                <w:tab w:val="left" w:pos="0"/>
                <w:tab w:val="clear" w:pos="744"/>
              </w:tabs>
              <w:kinsoku/>
              <w:wordWrap/>
              <w:overflowPunct/>
              <w:topLinePunct w:val="0"/>
              <w:bidi w:val="0"/>
              <w:spacing w:line="440" w:lineRule="exact"/>
              <w:ind w:left="0" w:right="0"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响应文件的纸质版文件份数：正本1份；副本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zh-CN"/>
              </w:rPr>
              <w:t>响应文件的正本和所有的副本均须打印，分开装订，胶装成册。</w:t>
            </w:r>
            <w:r>
              <w:rPr>
                <w:rFonts w:hint="eastAsia" w:ascii="宋体" w:hAnsi="宋体" w:eastAsia="宋体" w:cs="宋体"/>
                <w:color w:val="auto"/>
                <w:kern w:val="2"/>
                <w:sz w:val="24"/>
                <w:szCs w:val="24"/>
                <w:highlight w:val="none"/>
                <w:lang w:val="zh-CN" w:eastAsia="zh-CN" w:bidi="ar-SA"/>
              </w:rPr>
              <w:t>依磋商文件要求按</w:t>
            </w:r>
            <w:r>
              <w:rPr>
                <w:rFonts w:hint="default" w:ascii="宋体" w:hAnsi="宋体" w:eastAsia="宋体" w:cs="宋体"/>
                <w:color w:val="auto"/>
                <w:kern w:val="2"/>
                <w:sz w:val="24"/>
                <w:szCs w:val="24"/>
                <w:highlight w:val="none"/>
                <w:lang w:val="zh-CN" w:eastAsia="zh-CN" w:bidi="ar-SA"/>
              </w:rPr>
              <w:t>标</w:t>
            </w:r>
            <w:r>
              <w:rPr>
                <w:rFonts w:hint="eastAsia" w:ascii="宋体" w:hAnsi="宋体" w:cs="宋体"/>
                <w:color w:val="auto"/>
                <w:kern w:val="2"/>
                <w:sz w:val="24"/>
                <w:szCs w:val="24"/>
                <w:highlight w:val="none"/>
                <w:lang w:val="zh-CN" w:eastAsia="zh-CN" w:bidi="ar-SA"/>
              </w:rPr>
              <w:t>包</w:t>
            </w:r>
            <w:r>
              <w:rPr>
                <w:rFonts w:hint="default" w:ascii="宋体" w:hAnsi="宋体" w:eastAsia="宋体" w:cs="宋体"/>
                <w:color w:val="auto"/>
                <w:kern w:val="2"/>
                <w:sz w:val="24"/>
                <w:szCs w:val="24"/>
                <w:highlight w:val="none"/>
                <w:lang w:val="zh-CN" w:eastAsia="zh-CN" w:bidi="ar-SA"/>
              </w:rPr>
              <w:t>分开包装密封</w:t>
            </w:r>
            <w:r>
              <w:rPr>
                <w:rFonts w:hint="eastAsia" w:ascii="宋体" w:hAnsi="宋体" w:cs="宋体"/>
                <w:color w:val="auto"/>
                <w:kern w:val="2"/>
                <w:sz w:val="24"/>
                <w:szCs w:val="24"/>
                <w:highlight w:val="none"/>
                <w:lang w:val="zh-CN" w:eastAsia="zh-CN" w:bidi="ar-SA"/>
              </w:rPr>
              <w:t>并</w:t>
            </w:r>
            <w:r>
              <w:rPr>
                <w:rFonts w:hint="eastAsia" w:ascii="宋体" w:hAnsi="宋体" w:eastAsia="宋体" w:cs="宋体"/>
                <w:color w:val="auto"/>
                <w:kern w:val="2"/>
                <w:sz w:val="24"/>
                <w:szCs w:val="24"/>
                <w:highlight w:val="none"/>
                <w:lang w:val="zh-CN" w:eastAsia="zh-CN" w:bidi="ar-SA"/>
              </w:rPr>
              <w:t>加盖投标供应商公章，正副本分开密封或集中密封均可。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密封要求和封套上写明</w:t>
            </w:r>
          </w:p>
        </w:tc>
        <w:tc>
          <w:tcPr>
            <w:tcW w:w="7715" w:type="dxa"/>
            <w:vAlign w:val="center"/>
          </w:tcPr>
          <w:p>
            <w:pPr>
              <w:keepNext w:val="0"/>
              <w:keepLines w:val="0"/>
              <w:pageBreakBefore w:val="0"/>
              <w:kinsoku/>
              <w:wordWrap/>
              <w:overflowPunct/>
              <w:topLinePunct w:val="0"/>
              <w:bidi w:val="0"/>
              <w:spacing w:line="440" w:lineRule="exact"/>
              <w:ind w:left="0" w:right="0" w:firstLine="3"/>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供应商应将响应文件密</w:t>
            </w:r>
            <w:r>
              <w:rPr>
                <w:rFonts w:hint="eastAsia" w:ascii="宋体" w:hAnsi="宋体" w:cs="宋体"/>
                <w:color w:val="auto"/>
                <w:sz w:val="24"/>
                <w:szCs w:val="24"/>
                <w:highlight w:val="none"/>
                <w:lang w:eastAsia="zh-CN"/>
              </w:rPr>
              <w:t>封装订，同时在密封袋上标明采购人名称，项目名称及</w:t>
            </w:r>
            <w:r>
              <w:rPr>
                <w:rFonts w:hint="eastAsia" w:ascii="宋体" w:hAnsi="宋体" w:cs="宋体"/>
                <w:color w:val="auto"/>
                <w:sz w:val="24"/>
                <w:szCs w:val="24"/>
                <w:highlight w:val="none"/>
                <w:u w:val="none"/>
                <w:lang w:val="en-US" w:eastAsia="zh-CN"/>
              </w:rPr>
              <w:t>标包</w:t>
            </w:r>
            <w:r>
              <w:rPr>
                <w:rFonts w:hint="eastAsia" w:ascii="宋体" w:hAnsi="宋体" w:cs="宋体"/>
                <w:color w:val="auto"/>
                <w:sz w:val="24"/>
                <w:szCs w:val="24"/>
                <w:highlight w:val="none"/>
                <w:lang w:eastAsia="zh-CN"/>
              </w:rPr>
              <w:t>、供应商名称、</w:t>
            </w: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，密封袋封口处应密封，加盖响应单位公章</w:t>
            </w:r>
          </w:p>
          <w:p>
            <w:pPr>
              <w:keepNext w:val="0"/>
              <w:keepLines w:val="0"/>
              <w:pageBreakBefore w:val="0"/>
              <w:kinsoku/>
              <w:wordWrap/>
              <w:overflowPunct/>
              <w:topLinePunct w:val="0"/>
              <w:bidi w:val="0"/>
              <w:spacing w:line="440" w:lineRule="exact"/>
              <w:ind w:left="0" w:right="0" w:firstLine="3"/>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采购人名称： 阜阳市发展和改革委员会</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XXX(项目名称)</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标包</w:t>
            </w:r>
            <w:r>
              <w:rPr>
                <w:rFonts w:hint="eastAsia" w:ascii="宋体" w:hAnsi="宋体" w:eastAsia="宋体" w:cs="宋体"/>
                <w:color w:val="auto"/>
                <w:sz w:val="24"/>
                <w:szCs w:val="24"/>
                <w:highlight w:val="none"/>
              </w:rPr>
              <w:t>响应文件</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（盖响应单位公章）</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响应文件递交地点</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安徽新天源建设咨询有限公司</w:t>
            </w:r>
            <w:r>
              <w:rPr>
                <w:rFonts w:hint="eastAsia" w:ascii="宋体" w:hAnsi="宋体" w:eastAsia="宋体" w:cs="宋体"/>
                <w:color w:val="auto"/>
                <w:sz w:val="24"/>
                <w:szCs w:val="24"/>
                <w:highlight w:val="none"/>
                <w:lang w:eastAsia="zh-CN"/>
              </w:rPr>
              <w:t>一号</w:t>
            </w:r>
            <w:r>
              <w:rPr>
                <w:rFonts w:hint="eastAsia" w:ascii="宋体" w:hAnsi="宋体" w:eastAsia="宋体" w:cs="宋体"/>
                <w:color w:val="auto"/>
                <w:sz w:val="24"/>
                <w:szCs w:val="24"/>
                <w:highlight w:val="none"/>
              </w:rPr>
              <w:t>会议室（阜阳市颍州区金悦金融中心写字楼B栋11楼）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磋商时间和地点</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磋商时间：2019年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bookmarkStart w:id="285" w:name="_GoBack"/>
            <w:bookmarkEnd w:id="285"/>
            <w:r>
              <w:rPr>
                <w:rFonts w:hint="eastAsia" w:ascii="宋体" w:hAnsi="宋体" w:eastAsia="宋体" w:cs="宋体"/>
                <w:color w:val="auto"/>
                <w:sz w:val="24"/>
                <w:szCs w:val="24"/>
                <w:highlight w:val="none"/>
              </w:rPr>
              <w:t>日9时00分（北京时间）</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磋商地点：安徽新天源建设咨询有限公司</w:t>
            </w:r>
            <w:r>
              <w:rPr>
                <w:rFonts w:hint="eastAsia" w:ascii="宋体" w:hAnsi="宋体" w:eastAsia="宋体" w:cs="宋体"/>
                <w:color w:val="auto"/>
                <w:sz w:val="24"/>
                <w:szCs w:val="24"/>
                <w:highlight w:val="none"/>
                <w:lang w:eastAsia="zh-CN"/>
              </w:rPr>
              <w:t>一号</w:t>
            </w:r>
            <w:r>
              <w:rPr>
                <w:rFonts w:hint="eastAsia" w:ascii="宋体" w:hAnsi="宋体" w:eastAsia="宋体" w:cs="宋体"/>
                <w:color w:val="auto"/>
                <w:sz w:val="24"/>
                <w:szCs w:val="24"/>
                <w:highlight w:val="none"/>
              </w:rPr>
              <w:t>会议室（阜阳市颍州区金悦金融中心写字楼B栋11楼）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供应商提出问题的递交方式、截止时间</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响应异议时间：响应截止时间</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个工作日前；</w:t>
            </w:r>
          </w:p>
          <w:p>
            <w:pPr>
              <w:keepNext w:val="0"/>
              <w:keepLines w:val="0"/>
              <w:pageBreakBefore w:val="0"/>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接受异议的电子邮箱：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"mailto:tydl88888@163.com"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tydl88888@163.com</w:t>
            </w:r>
            <w:r>
              <w:rPr>
                <w:rFonts w:hint="eastAsia" w:ascii="宋体" w:hAnsi="宋体" w:eastAsia="宋体" w:cs="宋体"/>
                <w:color w:val="auto"/>
                <w:sz w:val="24"/>
                <w:szCs w:val="24"/>
                <w:highlight w:val="none"/>
              </w:rPr>
              <w:fldChar w:fldCharType="end"/>
            </w:r>
          </w:p>
          <w:p>
            <w:pPr>
              <w:keepNext w:val="0"/>
              <w:keepLines w:val="0"/>
              <w:pageBreakBefore w:val="0"/>
              <w:kinsoku/>
              <w:wordWrap/>
              <w:overflowPunct/>
              <w:topLinePunct w:val="0"/>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w:t>
            </w:r>
            <w:r>
              <w:rPr>
                <w:rFonts w:hint="eastAsia" w:ascii="宋体" w:hAnsi="宋体" w:eastAsia="宋体" w:cs="宋体"/>
                <w:color w:val="auto"/>
                <w:sz w:val="24"/>
                <w:szCs w:val="24"/>
                <w:highlight w:val="none"/>
                <w:lang w:val="zh-CN"/>
              </w:rPr>
              <w:t>答复内容及</w:t>
            </w:r>
            <w:r>
              <w:rPr>
                <w:rFonts w:hint="eastAsia" w:ascii="宋体" w:hAnsi="宋体" w:eastAsia="宋体" w:cs="宋体"/>
                <w:color w:val="auto"/>
                <w:sz w:val="24"/>
                <w:szCs w:val="24"/>
                <w:highlight w:val="none"/>
              </w:rPr>
              <w:t>澄清、修改将在</w:t>
            </w:r>
            <w:r>
              <w:rPr>
                <w:rFonts w:hint="eastAsia" w:ascii="宋体" w:hAnsi="宋体" w:eastAsia="宋体" w:cs="宋体"/>
                <w:color w:val="auto"/>
                <w:sz w:val="24"/>
                <w:szCs w:val="24"/>
                <w:highlight w:val="none"/>
                <w:u w:val="single"/>
              </w:rPr>
              <w:t>阜阳市公共资源交易网（http://jyzx.fy.gov.cn）</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val="zh-CN"/>
              </w:rPr>
              <w:t>答复内容及澄清或修改内容为竞争性磋商文件的组成部分，对供应商具有同样约束力效力。</w:t>
            </w:r>
            <w:r>
              <w:rPr>
                <w:rFonts w:hint="eastAsia" w:ascii="宋体" w:hAnsi="宋体" w:eastAsia="宋体" w:cs="宋体"/>
                <w:color w:val="auto"/>
                <w:sz w:val="24"/>
                <w:szCs w:val="24"/>
                <w:highlight w:val="none"/>
              </w:rPr>
              <w:t>所有潜在供应商自行在网上查询查看，无需以书面形式回复。采购代理机构将不再另行通知各供应商。供应商对竞争性磋商文件的澄清、修改未能及时查询的，由此引起的一切责任均由供应商自行负责。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采购代理服务费用约定</w:t>
            </w:r>
          </w:p>
        </w:tc>
        <w:tc>
          <w:tcPr>
            <w:tcW w:w="7715" w:type="dxa"/>
            <w:vAlign w:val="center"/>
          </w:tcPr>
          <w:p>
            <w:pPr>
              <w:keepNext w:val="0"/>
              <w:keepLines w:val="0"/>
              <w:pageBreakBefore w:val="0"/>
              <w:kinsoku/>
              <w:wordWrap/>
              <w:overflowPunct/>
              <w:topLinePunct w:val="0"/>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bidi="ar"/>
              </w:rPr>
              <w:t>采购</w:t>
            </w:r>
            <w:r>
              <w:rPr>
                <w:rFonts w:hint="eastAsia" w:ascii="宋体" w:hAnsi="宋体" w:eastAsia="宋体" w:cs="宋体"/>
                <w:b/>
                <w:bCs/>
                <w:color w:val="auto"/>
                <w:sz w:val="24"/>
                <w:szCs w:val="24"/>
                <w:highlight w:val="none"/>
                <w:lang w:bidi="ar"/>
              </w:rPr>
              <w:t>代理费用：</w:t>
            </w:r>
            <w:r>
              <w:rPr>
                <w:rFonts w:hint="eastAsia" w:ascii="宋体" w:hAnsi="宋体" w:cs="宋体"/>
                <w:b/>
                <w:bCs/>
                <w:color w:val="auto"/>
                <w:sz w:val="24"/>
                <w:szCs w:val="24"/>
                <w:highlight w:val="none"/>
                <w:lang w:val="en-US" w:eastAsia="zh-CN" w:bidi="ar"/>
              </w:rPr>
              <w:t>15</w:t>
            </w:r>
            <w:r>
              <w:rPr>
                <w:rFonts w:hint="eastAsia" w:ascii="宋体" w:hAnsi="宋体" w:eastAsia="宋体" w:cs="宋体"/>
                <w:b/>
                <w:bCs/>
                <w:color w:val="auto"/>
                <w:sz w:val="24"/>
                <w:szCs w:val="24"/>
                <w:highlight w:val="none"/>
                <w:lang w:bidi="ar"/>
              </w:rPr>
              <w:t>00元</w:t>
            </w:r>
            <w:r>
              <w:rPr>
                <w:rFonts w:hint="eastAsia" w:ascii="宋体" w:hAnsi="宋体" w:cs="宋体"/>
                <w:b/>
                <w:bCs/>
                <w:color w:val="auto"/>
                <w:sz w:val="24"/>
                <w:szCs w:val="24"/>
                <w:highlight w:val="none"/>
                <w:lang w:val="en-US" w:eastAsia="zh-CN" w:bidi="ar"/>
              </w:rPr>
              <w:t>/标包</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bidi="ar"/>
              </w:rPr>
              <w:br w:type="textWrapping"/>
            </w:r>
            <w:r>
              <w:rPr>
                <w:rFonts w:hint="eastAsia" w:ascii="宋体" w:hAnsi="宋体" w:eastAsia="宋体" w:cs="宋体"/>
                <w:b/>
                <w:bCs/>
                <w:color w:val="auto"/>
                <w:sz w:val="24"/>
                <w:szCs w:val="24"/>
                <w:highlight w:val="none"/>
                <w:lang w:bidi="ar"/>
              </w:rPr>
              <w:t xml:space="preserve">以上费用，不单独列出，供应商自行考虑，含在投标报价中，在领取中标通知书时支付。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磋商办法</w:t>
            </w:r>
          </w:p>
        </w:tc>
        <w:tc>
          <w:tcPr>
            <w:tcW w:w="7715" w:type="dxa"/>
            <w:vAlign w:val="center"/>
          </w:tcPr>
          <w:p>
            <w:pPr>
              <w:keepNext w:val="0"/>
              <w:keepLines w:val="0"/>
              <w:pageBreakBefore w:val="0"/>
              <w:kinsoku/>
              <w:wordWrap/>
              <w:overflowPunct/>
              <w:topLinePunct w:val="0"/>
              <w:bidi w:val="0"/>
              <w:spacing w:line="440" w:lineRule="exact"/>
              <w:ind w:left="0" w:leftChars="0" w:right="0" w:rightChars="0"/>
              <w:jc w:val="left"/>
              <w:textAlignment w:val="auto"/>
              <w:rPr>
                <w:rFonts w:hint="eastAsia" w:eastAsia="宋体"/>
                <w:color w:val="auto"/>
                <w:sz w:val="24"/>
                <w:szCs w:val="24"/>
                <w:lang w:val="en-US" w:eastAsia="zh-CN"/>
              </w:rPr>
            </w:pP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01" w:type="dxa"/>
            <w:vAlign w:val="center"/>
          </w:tcPr>
          <w:p>
            <w:pPr>
              <w:keepNext w:val="0"/>
              <w:keepLines w:val="0"/>
              <w:pageBreakBefore w:val="0"/>
              <w:kinsoku/>
              <w:wordWrap/>
              <w:overflowPunct/>
              <w:topLinePunct w:val="0"/>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787" w:type="dxa"/>
            <w:vAlign w:val="center"/>
          </w:tcPr>
          <w:p>
            <w:pPr>
              <w:keepNext w:val="0"/>
              <w:keepLines w:val="0"/>
              <w:pageBreakBefore w:val="0"/>
              <w:kinsoku/>
              <w:wordWrap/>
              <w:overflowPunct/>
              <w:topLinePunct w:val="0"/>
              <w:bidi w:val="0"/>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7715" w:type="dxa"/>
            <w:vAlign w:val="center"/>
          </w:tcPr>
          <w:p>
            <w:pPr>
              <w:keepNext w:val="0"/>
              <w:keepLines w:val="0"/>
              <w:pageBreakBefore w:val="0"/>
              <w:kinsoku/>
              <w:wordWrap/>
              <w:overflowPunct/>
              <w:topLinePunct w:val="0"/>
              <w:bidi w:val="0"/>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715" w:type="dxa"/>
            <w:vAlign w:val="center"/>
          </w:tcPr>
          <w:p>
            <w:pPr>
              <w:keepNext w:val="0"/>
              <w:keepLines w:val="0"/>
              <w:pageBreakBefore w:val="0"/>
              <w:kinsoku/>
              <w:wordWrap/>
              <w:overflowPunct/>
              <w:topLinePunct w:val="0"/>
              <w:bidi w:val="0"/>
              <w:spacing w:line="440" w:lineRule="exact"/>
              <w:ind w:left="0" w:right="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项目完成后并经过采购人认可后一次性支付</w:t>
            </w:r>
            <w:r>
              <w:rPr>
                <w:rFonts w:hint="eastAsia" w:ascii="宋体" w:hAnsi="宋体" w:cs="宋体"/>
                <w:color w:val="auto"/>
                <w:sz w:val="24"/>
                <w:szCs w:val="24"/>
                <w:highlight w:val="none"/>
                <w:lang w:val="en-US" w:eastAsia="zh-CN"/>
              </w:rPr>
              <w:t>100%合同金额。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1787"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供应商参加磋商会议的要求</w:t>
            </w:r>
          </w:p>
        </w:tc>
        <w:tc>
          <w:tcPr>
            <w:tcW w:w="7715" w:type="dxa"/>
            <w:vAlign w:val="center"/>
          </w:tcPr>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供应商凭以下资料递交报价文件：</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①法人</w:t>
            </w:r>
            <w:r>
              <w:rPr>
                <w:rFonts w:hint="eastAsia" w:ascii="宋体" w:hAnsi="宋体" w:cs="宋体"/>
                <w:color w:val="auto"/>
                <w:sz w:val="24"/>
                <w:szCs w:val="24"/>
                <w:highlight w:val="none"/>
                <w:lang w:eastAsia="zh-CN"/>
              </w:rPr>
              <w:t>（或负责人）</w:t>
            </w:r>
            <w:r>
              <w:rPr>
                <w:rFonts w:hint="eastAsia" w:ascii="宋体" w:hAnsi="宋体" w:eastAsia="宋体" w:cs="宋体"/>
                <w:color w:val="auto"/>
                <w:sz w:val="24"/>
                <w:szCs w:val="24"/>
                <w:highlight w:val="none"/>
              </w:rPr>
              <w:t>授权委托书原件；②法定代表人</w:t>
            </w:r>
            <w:r>
              <w:rPr>
                <w:rFonts w:hint="eastAsia" w:ascii="宋体" w:hAnsi="宋体" w:cs="宋体"/>
                <w:color w:val="auto"/>
                <w:sz w:val="24"/>
                <w:szCs w:val="24"/>
                <w:highlight w:val="none"/>
                <w:lang w:eastAsia="zh-CN"/>
              </w:rPr>
              <w:t>（或负责人）</w:t>
            </w:r>
            <w:r>
              <w:rPr>
                <w:rFonts w:hint="eastAsia" w:ascii="宋体" w:hAnsi="宋体" w:eastAsia="宋体" w:cs="宋体"/>
                <w:color w:val="auto"/>
                <w:sz w:val="24"/>
                <w:szCs w:val="24"/>
                <w:highlight w:val="none"/>
              </w:rPr>
              <w:t>身份证原件或被授权人身份证原件；</w:t>
            </w:r>
            <w:r>
              <w:rPr>
                <w:rFonts w:hint="eastAsia" w:ascii="宋体" w:hAnsi="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1787" w:type="dxa"/>
            <w:vAlign w:val="center"/>
          </w:tcPr>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废标条款</w:t>
            </w:r>
          </w:p>
        </w:tc>
        <w:tc>
          <w:tcPr>
            <w:tcW w:w="7715" w:type="dxa"/>
            <w:vAlign w:val="center"/>
          </w:tcPr>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废标条款：</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1）串通响应或弄虚作假或有其他违法行为的。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串通响应行为是指：</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（a）不同供应商委托同一人响应；</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（b）不同供应商的响应文件载明的项目管理班子成员出现同一人的；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（c）不同供应商的响应文件相互混装的；</w:t>
            </w:r>
          </w:p>
          <w:p>
            <w:pPr>
              <w:keepNext w:val="0"/>
              <w:keepLines w:val="0"/>
              <w:pageBreakBefore w:val="0"/>
              <w:tabs>
                <w:tab w:val="left" w:pos="900"/>
              </w:tabs>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2）逾期送达的响应文件；</w:t>
            </w:r>
          </w:p>
          <w:p>
            <w:pPr>
              <w:keepNext w:val="0"/>
              <w:keepLines w:val="0"/>
              <w:pageBreakBefore w:val="0"/>
              <w:tabs>
                <w:tab w:val="left" w:pos="735"/>
                <w:tab w:val="left" w:pos="900"/>
              </w:tabs>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3）响应文件有关内容未按规定加盖供应商印章或未经法定代表人（负责人）或其委托代理人签字或盖章的；由委托代理人签字或盖章的，但未随响应文件一起提交有效的“授权委托书”原件的；</w:t>
            </w:r>
          </w:p>
          <w:p>
            <w:pPr>
              <w:keepNext w:val="0"/>
              <w:keepLines w:val="0"/>
              <w:pageBreakBefore w:val="0"/>
              <w:tabs>
                <w:tab w:val="left" w:pos="900"/>
              </w:tabs>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4）响应文件份数、装订、密封和标记不符合竞争性磋商文件要求的；响应文件未胶装的。</w:t>
            </w:r>
          </w:p>
          <w:p>
            <w:pPr>
              <w:keepNext w:val="0"/>
              <w:keepLines w:val="0"/>
              <w:pageBreakBefore w:val="0"/>
              <w:tabs>
                <w:tab w:val="left" w:pos="900"/>
              </w:tabs>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5）供应商递交两份或多份内容不同的响应文件；或在一份响应文件中对同一招标项目报有两个或多个报价的，且未书面声明以哪个报价为准。</w:t>
            </w:r>
          </w:p>
          <w:p>
            <w:pPr>
              <w:keepNext w:val="0"/>
              <w:keepLines w:val="0"/>
              <w:pageBreakBefore w:val="0"/>
              <w:tabs>
                <w:tab w:val="left" w:pos="900"/>
              </w:tabs>
              <w:kinsoku/>
              <w:wordWrap/>
              <w:overflowPunct/>
              <w:topLinePunct w:val="0"/>
              <w:bidi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6）被阜阳市招投标监督管理部门或行业主管部门取消响应资格并在处罚期内的；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7）不按磋商小组要求澄清、说明或补正的。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8）响应文件中的报价单及其它内容相应位置处没有签字、盖章的。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9）响应文件中响应报价或其它实质性要求不能满足竞争性磋商文件要求,或作出的承诺与竞争性磋商文件中提供的响应函样本中相关内容相抵触或有遗漏的。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10）未按规定的格式填写，实质性内容不全或关键字迹模糊、无法辨认的。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11）响应文件对采购人提供的需求清单单项无报价或零报价的。</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12）响应文件中存在采购人不能接受的其它实质性条件。</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13）法律、法规规定的其它情形。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787" w:type="dxa"/>
            <w:vAlign w:val="center"/>
          </w:tcPr>
          <w:p>
            <w:pPr>
              <w:keepNext w:val="0"/>
              <w:keepLines w:val="0"/>
              <w:pageBreakBefore w:val="0"/>
              <w:shd w:val="clear" w:color="auto" w:fill="FFFFFF"/>
              <w:kinsoku/>
              <w:wordWrap/>
              <w:overflowPunct/>
              <w:topLinePunct w:val="0"/>
              <w:bidi w:val="0"/>
              <w:snapToGrid w:val="0"/>
              <w:spacing w:line="44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其他</w:t>
            </w:r>
          </w:p>
        </w:tc>
        <w:tc>
          <w:tcPr>
            <w:tcW w:w="7715" w:type="dxa"/>
            <w:vAlign w:val="center"/>
          </w:tcPr>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 工业和信息化部《关于印发〈政府采购促进中小企业发展暂行办法〉的通知》（财库〔2011〕181号）、《安徽省财政厅 安徽省经济和信息化委员会转发〈财政部工业和信息化部关于印发政府采购促进中小企业发展暂行办法〉的通知》（财购〔2012〕142号）有关规定：</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中型企业产品的价格给予3%的扣除，对小型和微型企业产品的价格给予6%的扣除，用扣除后的价格参与评审。参加本次采购活动的中小企业应当在投标文件中提供有效的《中小企业产品投标声明函》及《中小企业声明函》，并对其真实性负责。小型、微型企业提供中型企业制造的货物的，视同为中型企业。</w:t>
            </w:r>
          </w:p>
          <w:p>
            <w:pPr>
              <w:keepNext w:val="0"/>
              <w:keepLines w:val="0"/>
              <w:pageBreakBefore w:val="0"/>
              <w:shd w:val="clear" w:color="auto" w:fill="FFFFFF"/>
              <w:kinsoku/>
              <w:wordWrap/>
              <w:overflowPunct/>
              <w:topLinePunct w:val="0"/>
              <w:bidi w:val="0"/>
              <w:snapToGrid w:val="0"/>
              <w:spacing w:line="44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本项目将对排名第一的中标候选供应商提供的中小企业产品品名及生产厂家，随评审结果一并公示。如涉嫌造假，将取消中标资格并上报监管部门按有关规定处理。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01" w:type="dxa"/>
            <w:vAlign w:val="center"/>
          </w:tcPr>
          <w:p>
            <w:pPr>
              <w:keepNext w:val="0"/>
              <w:keepLines w:val="0"/>
              <w:pageBreakBefore w:val="0"/>
              <w:kinsoku/>
              <w:wordWrap/>
              <w:overflowPunct/>
              <w:topLinePunct w:val="0"/>
              <w:bidi w:val="0"/>
              <w:spacing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787" w:type="dxa"/>
            <w:vAlign w:val="center"/>
          </w:tcPr>
          <w:p>
            <w:pPr>
              <w:keepNext w:val="0"/>
              <w:keepLines w:val="0"/>
              <w:pageBreakBefore w:val="0"/>
              <w:shd w:val="clear" w:color="auto" w:fill="FFFFFF"/>
              <w:kinsoku/>
              <w:wordWrap/>
              <w:overflowPunct/>
              <w:topLinePunct w:val="0"/>
              <w:bidi w:val="0"/>
              <w:snapToGrid w:val="0"/>
              <w:spacing w:line="440" w:lineRule="exact"/>
              <w:ind w:left="0" w:right="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提示</w:t>
            </w:r>
          </w:p>
        </w:tc>
        <w:tc>
          <w:tcPr>
            <w:tcW w:w="771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本项目执行《政府采购竞争性磋商采购方式管理暂行办法》及财政部关于政府采购竞争性磋商采购方式管理暂行办法有关问题的补充通知（财库〔2015〕124号）。</w:t>
            </w:r>
          </w:p>
        </w:tc>
      </w:tr>
    </w:tbl>
    <w:p>
      <w:pPr>
        <w:pStyle w:val="6"/>
        <w:spacing w:before="20" w:after="20" w:line="360" w:lineRule="auto"/>
        <w:ind w:firstLine="0"/>
        <w:rPr>
          <w:rFonts w:hint="eastAsia" w:ascii="宋体" w:hAnsi="宋体" w:eastAsia="宋体" w:cs="宋体"/>
          <w:color w:val="auto"/>
          <w:highlight w:val="none"/>
        </w:rPr>
      </w:pPr>
      <w:bookmarkStart w:id="35" w:name="_Hlt509650027"/>
      <w:bookmarkEnd w:id="35"/>
      <w:bookmarkStart w:id="36" w:name="_Hlt519045778"/>
      <w:bookmarkEnd w:id="36"/>
      <w:bookmarkStart w:id="37" w:name="_Toc448070711"/>
      <w:r>
        <w:rPr>
          <w:rFonts w:hint="eastAsia" w:ascii="宋体" w:hAnsi="宋体" w:eastAsia="宋体" w:cs="宋体"/>
          <w:color w:val="auto"/>
          <w:highlight w:val="none"/>
        </w:rPr>
        <w:br w:type="page"/>
      </w:r>
      <w:bookmarkStart w:id="38" w:name="_Toc1031"/>
      <w:bookmarkStart w:id="39" w:name="_Toc17965"/>
      <w:r>
        <w:rPr>
          <w:rFonts w:hint="eastAsia" w:ascii="宋体" w:hAnsi="宋体" w:eastAsia="宋体" w:cs="宋体"/>
          <w:color w:val="auto"/>
          <w:highlight w:val="none"/>
        </w:rPr>
        <w:t>二、供应商须知</w:t>
      </w:r>
      <w:bookmarkEnd w:id="37"/>
      <w:bookmarkEnd w:id="38"/>
      <w:bookmarkEnd w:id="39"/>
    </w:p>
    <w:p>
      <w:pPr>
        <w:pStyle w:val="7"/>
        <w:spacing w:before="20" w:after="20" w:line="360" w:lineRule="auto"/>
        <w:rPr>
          <w:rFonts w:hint="eastAsia" w:ascii="宋体" w:hAnsi="宋体" w:eastAsia="宋体" w:cs="宋体"/>
          <w:color w:val="auto"/>
          <w:sz w:val="28"/>
          <w:szCs w:val="28"/>
          <w:highlight w:val="none"/>
        </w:rPr>
      </w:pPr>
      <w:bookmarkStart w:id="40" w:name="_Hlt526418143"/>
      <w:bookmarkEnd w:id="40"/>
      <w:bookmarkStart w:id="41" w:name="_Hlt509649998"/>
      <w:bookmarkEnd w:id="41"/>
      <w:bookmarkStart w:id="42" w:name="_Hlt509649722"/>
      <w:bookmarkEnd w:id="42"/>
      <w:bookmarkStart w:id="43" w:name="_Hlt509650686"/>
      <w:bookmarkEnd w:id="43"/>
      <w:bookmarkStart w:id="44" w:name="_Hlt509650126"/>
      <w:bookmarkEnd w:id="44"/>
      <w:bookmarkStart w:id="45" w:name="_Hlt509650955"/>
      <w:bookmarkEnd w:id="45"/>
      <w:bookmarkStart w:id="46" w:name="_Toc23974"/>
      <w:bookmarkStart w:id="47" w:name="_Toc23999"/>
      <w:bookmarkStart w:id="48" w:name="_Toc22351"/>
      <w:bookmarkStart w:id="49" w:name="_Toc448070712"/>
      <w:r>
        <w:rPr>
          <w:rFonts w:hint="eastAsia" w:ascii="宋体" w:hAnsi="宋体" w:eastAsia="宋体" w:cs="宋体"/>
          <w:color w:val="auto"/>
          <w:sz w:val="28"/>
          <w:szCs w:val="28"/>
          <w:highlight w:val="none"/>
        </w:rPr>
        <w:t>1．总  则</w:t>
      </w:r>
      <w:bookmarkEnd w:id="46"/>
      <w:bookmarkEnd w:id="47"/>
      <w:bookmarkEnd w:id="48"/>
      <w:bookmarkEnd w:id="49"/>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b/>
          <w:color w:val="auto"/>
          <w:sz w:val="24"/>
          <w:szCs w:val="24"/>
          <w:highlight w:val="none"/>
        </w:rPr>
        <w:t>1.1项目概况</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1.1.1根据有关法律、法规和规章的规定，本采购项目已具备招标条件，现对本项目进行竞争性磋商。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1.1.2本采购项目采购人：见供应商须知前附表。</w:t>
      </w:r>
    </w:p>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1.1.3本采购项目名称：见供应商须知前附表。</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1.1.4本采购项目供货地点：采购人指定的地方</w:t>
      </w:r>
    </w:p>
    <w:p>
      <w:pP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1.2资金来源和落实情况</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1.2.1本采购项目的资金来源：财政资金。</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1.2.2本采购项目的资金落实情况：已落实。</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1.3采购范围、最高响应上限、</w:t>
      </w:r>
      <w:r>
        <w:rPr>
          <w:rFonts w:hint="eastAsia" w:ascii="宋体" w:hAnsi="宋体" w:cs="宋体"/>
          <w:b/>
          <w:color w:val="auto"/>
          <w:sz w:val="24"/>
          <w:szCs w:val="24"/>
          <w:highlight w:val="none"/>
          <w:lang w:eastAsia="zh-CN"/>
        </w:rPr>
        <w:t>标包</w:t>
      </w:r>
      <w:r>
        <w:rPr>
          <w:rFonts w:hint="eastAsia" w:ascii="宋体" w:hAnsi="宋体" w:eastAsia="宋体" w:cs="宋体"/>
          <w:b/>
          <w:color w:val="auto"/>
          <w:sz w:val="24"/>
          <w:szCs w:val="24"/>
          <w:highlight w:val="none"/>
        </w:rPr>
        <w:t>、服务期限和质量要求</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1.3.1本次采购范围：见供应商须知前附表。</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1.3.2最高响应上限：见供应商须知前附表说明。</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1.3.3 本采购项目的</w:t>
      </w:r>
      <w:r>
        <w:rPr>
          <w:rFonts w:hint="eastAsia" w:ascii="宋体" w:hAnsi="宋体" w:cs="宋体"/>
          <w:color w:val="auto"/>
          <w:sz w:val="24"/>
          <w:szCs w:val="24"/>
          <w:highlight w:val="none"/>
          <w:lang w:eastAsia="zh-CN"/>
        </w:rPr>
        <w:t>标包</w:t>
      </w:r>
      <w:r>
        <w:rPr>
          <w:rFonts w:hint="eastAsia" w:ascii="宋体" w:hAnsi="宋体" w:eastAsia="宋体" w:cs="宋体"/>
          <w:color w:val="auto"/>
          <w:sz w:val="24"/>
          <w:szCs w:val="24"/>
          <w:highlight w:val="none"/>
        </w:rPr>
        <w:t>划分：见供应商须知前附表。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本采购项目的服务期限：见供应商须知前附表。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本采购项目的质量要求：见供应商须知前附表。</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1.4供应商资格要求</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1.4.1 本项目资格、能力及信誉：见供应商须知前附表。</w:t>
      </w:r>
    </w:p>
    <w:p>
      <w:pPr>
        <w:spacing w:line="440" w:lineRule="exact"/>
        <w:ind w:firstLine="487" w:firstLineChars="20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1.4.2本项目是否接受联合体：见供应商须知前附表。</w:t>
      </w:r>
    </w:p>
    <w:p>
      <w:pPr>
        <w:spacing w:line="440" w:lineRule="exact"/>
        <w:ind w:firstLine="473" w:firstLineChars="203"/>
        <w:rPr>
          <w:rFonts w:hint="eastAsia" w:ascii="宋体" w:hAnsi="宋体" w:eastAsia="宋体" w:cs="宋体"/>
          <w:b/>
          <w:bCs/>
          <w:color w:val="auto"/>
          <w:spacing w:val="-4"/>
          <w:kern w:val="0"/>
          <w:sz w:val="24"/>
          <w:szCs w:val="24"/>
          <w:highlight w:val="none"/>
        </w:rPr>
      </w:pPr>
      <w:r>
        <w:rPr>
          <w:rFonts w:hint="eastAsia" w:ascii="宋体" w:hAnsi="宋体" w:eastAsia="宋体" w:cs="宋体"/>
          <w:b/>
          <w:bCs/>
          <w:color w:val="auto"/>
          <w:spacing w:val="-4"/>
          <w:kern w:val="0"/>
          <w:sz w:val="24"/>
          <w:szCs w:val="24"/>
          <w:highlight w:val="none"/>
        </w:rPr>
        <w:t>1.4.3供应商不得存在下列情形之一：</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(1)法定代表人（负责人）为同一人。</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(2)为本项目前期准备提供设计或咨询服务的。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(3)为本项目的代建人。</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(4)为本项目提供招标代理服务的。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(5)与本项目的代建人或采购代理机构同为一个法定代表人（负责人）的。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(6)与本项目的代建人或采购代理机构相互控股或参股的。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(7)与本项目的代建人或采购代理机构相互任职或工作的。</w:t>
      </w:r>
    </w:p>
    <w:p>
      <w:pPr>
        <w:tabs>
          <w:tab w:val="left" w:pos="7560"/>
        </w:tabs>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(8)被责令停业的。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(9)被暂停或取消响应资格的。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(10)财产被接管或冻结的。</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(11)在最近三年内有严重违约或重大工程质量问题的。</w:t>
      </w:r>
    </w:p>
    <w:p>
      <w:pPr>
        <w:spacing w:line="440" w:lineRule="exact"/>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1.5费用承担</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供应商应承担下述费用：供应商准备和参加响应活动发生的一切费用。</w:t>
      </w:r>
    </w:p>
    <w:p>
      <w:pPr>
        <w:spacing w:line="440" w:lineRule="exact"/>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1.6保密</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参与采购响应活动的各方应对竞争性磋商文件和响应文件中的商业和技术等秘密保密，违者应对由此造成的后果承担法律责任。</w:t>
      </w:r>
    </w:p>
    <w:p>
      <w:pPr>
        <w:spacing w:line="440" w:lineRule="exact"/>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pPr>
        <w:spacing w:line="44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响应文件使用的语言文字均须为中文，专用术语使用外文的，应附有中文注释。</w:t>
      </w:r>
    </w:p>
    <w:p>
      <w:pPr>
        <w:spacing w:line="440" w:lineRule="exact"/>
        <w:ind w:firstLine="540" w:firstLineChars="22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1.8计量单位</w:t>
      </w:r>
    </w:p>
    <w:p>
      <w:pPr>
        <w:spacing w:line="44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spacing w:line="440" w:lineRule="exact"/>
        <w:ind w:firstLine="540" w:firstLineChars="2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本项目不组织踏勘现场。但供应商有必要自行踏勘现场，以便于更好的熟悉采购内容，更好的结合现场实际情况编制响应文件。</w:t>
      </w:r>
    </w:p>
    <w:p>
      <w:pPr>
        <w:spacing w:line="440" w:lineRule="exact"/>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1.10响应预备会</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本项目不组织召开响应预备会。</w:t>
      </w:r>
    </w:p>
    <w:p>
      <w:pPr>
        <w:spacing w:line="440" w:lineRule="exact"/>
        <w:ind w:firstLine="542" w:firstLineChars="22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1.11分包</w:t>
      </w:r>
    </w:p>
    <w:p>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本项目不允许分包。</w:t>
      </w:r>
    </w:p>
    <w:p>
      <w:pPr>
        <w:spacing w:line="440" w:lineRule="exact"/>
        <w:ind w:firstLine="542" w:firstLineChars="225"/>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rPr>
        <w:t>1．12</w:t>
      </w:r>
      <w:r>
        <w:rPr>
          <w:rFonts w:hint="eastAsia" w:ascii="宋体" w:hAnsi="宋体" w:eastAsia="宋体" w:cs="宋体"/>
          <w:color w:val="auto"/>
          <w:sz w:val="24"/>
          <w:szCs w:val="24"/>
          <w:highlight w:val="none"/>
        </w:rPr>
        <w:t>供应商应认真阅读竞争性磋商文件的全部内容，明确其所称全部事项、格式、条款和规范等各项具体要求。如果没有按照竞争性磋商文件要求提交全部资料，或没有对响应文件做出实质性响应，根据有关条款规定，其响应有可能被拒绝，其风险应由供应商自行承担。</w:t>
      </w:r>
    </w:p>
    <w:p>
      <w:pPr>
        <w:pStyle w:val="7"/>
        <w:spacing w:before="20" w:after="20" w:line="360" w:lineRule="auto"/>
        <w:rPr>
          <w:rFonts w:hint="eastAsia" w:ascii="宋体" w:hAnsi="宋体" w:eastAsia="宋体" w:cs="宋体"/>
          <w:color w:val="auto"/>
          <w:sz w:val="28"/>
          <w:szCs w:val="28"/>
          <w:highlight w:val="none"/>
        </w:rPr>
      </w:pPr>
      <w:bookmarkStart w:id="50" w:name="_Toc22226"/>
      <w:bookmarkStart w:id="51" w:name="_Toc448070713"/>
      <w:bookmarkStart w:id="52" w:name="_Toc25505"/>
      <w:bookmarkStart w:id="53" w:name="_Toc3582"/>
      <w:r>
        <w:rPr>
          <w:rFonts w:hint="eastAsia" w:ascii="宋体" w:hAnsi="宋体" w:eastAsia="宋体" w:cs="宋体"/>
          <w:color w:val="auto"/>
          <w:sz w:val="28"/>
          <w:szCs w:val="28"/>
          <w:highlight w:val="none"/>
        </w:rPr>
        <w:t>2．竞争性磋商文件</w:t>
      </w:r>
      <w:bookmarkEnd w:id="50"/>
      <w:bookmarkEnd w:id="51"/>
      <w:bookmarkEnd w:id="52"/>
      <w:bookmarkEnd w:id="53"/>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2.1竞争性磋商文件的组成</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竞争性磋商文件包括：</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(1）竞争性磋商公告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(2）供应商须知及前附表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(3）磋商办法</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(5）响应文件格式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 条和第2.3条对竞争性磋商文件所作的澄清、修改，构成竞争性磋商文件的组成部分。</w:t>
      </w:r>
    </w:p>
    <w:p>
      <w:pPr>
        <w:spacing w:line="440" w:lineRule="exact"/>
        <w:ind w:firstLine="5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2.2竞争性磋商文件的澄清</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竞争性磋商文件的全部内容。如发现缺页或附件不全，应及时向采购人提出，以便补齐。如有异议，应在供应商须知前附表规定的时间前以电子邮件形式要求采购人对竞争性磋商文件予以回复，提出异议时须注明项目名称及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响应异议时间：响应截止时间5个工作日前；受异议的电子邮箱：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"mailto:tydl88888@163.com"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tydl88888@163.com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2.2.2竞争性磋商文件的澄清在响应截止时间5天前，以网上公布方式发布给所有潜在的供应商。如果澄清发出的时间距响应截止时间不足5天，可能影响响应文件编制的，相应推迟响应截止时间。</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所有领取竞争性磋商文件的供应商有义务在网上阜阳市公共资源交易网（http://jyzx.fy.gov.cn）自行查询资料，无需以书面形式回复。采购代理机构将不再另行通知各供应商。供应商对竞争性磋商文件的澄清、修改未能及时查询的，由此引起的一切责任均由供应商自行负责。</w:t>
      </w:r>
    </w:p>
    <w:p>
      <w:pPr>
        <w:spacing w:line="44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2.3竞争性磋商文件的修改</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2.3.1采购人对已发出的竞争性磋商文件进行的必要澄清或者修改的内容可能影响磋商响应文件编制的,应在响应截止5日前，在阜阳市公共资源交易网http://jyzx.fy.gov.cn上发布，距响应截止时间不足5日的，相应延长响应截止时间。</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在响应截止日期前，无论出于何种原因，采购人可主动地或在解答供应商要求澄清的问题时对竞争性磋商文件进行修改。</w:t>
      </w:r>
    </w:p>
    <w:p>
      <w:pPr>
        <w:spacing w:line="440" w:lineRule="exact"/>
        <w:ind w:firstLine="4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2.3.2采购人对供应商提出异议的答复将在阜阳市公共资源交易网http://jyzx.fy.gov.cn上发布，但不指明澄清问题的来源。供应商自行在阜阳市公共资源交易网http://jyzx.fy.gov.cn查询，无需确认。</w:t>
      </w:r>
    </w:p>
    <w:p>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2.3.3当竞争性磋商文件的澄清、修改、补充等在同一内容的表述上不一致时，以最后发出的为准。</w:t>
      </w:r>
      <w:r>
        <w:rPr>
          <w:rFonts w:hint="eastAsia" w:ascii="宋体" w:hAnsi="宋体" w:eastAsia="宋体" w:cs="宋体"/>
          <w:color w:val="auto"/>
          <w:sz w:val="24"/>
          <w:highlight w:val="none"/>
        </w:rPr>
        <w:t>为使供应商在准备磋商响应文件时，有充足的时间对竞争性磋商文件的修改进行研究考虑，采购方可自行决定，酌情推迟响应截止日期。</w:t>
      </w:r>
    </w:p>
    <w:p>
      <w:pPr>
        <w:pStyle w:val="7"/>
        <w:spacing w:before="20" w:after="20" w:line="360" w:lineRule="auto"/>
        <w:rPr>
          <w:rFonts w:hint="eastAsia" w:ascii="宋体" w:hAnsi="宋体" w:eastAsia="宋体" w:cs="宋体"/>
          <w:color w:val="auto"/>
          <w:sz w:val="28"/>
          <w:szCs w:val="28"/>
          <w:highlight w:val="none"/>
        </w:rPr>
      </w:pPr>
      <w:bookmarkStart w:id="54" w:name="_Toc21962"/>
      <w:bookmarkStart w:id="55" w:name="_Toc448070714"/>
      <w:bookmarkStart w:id="56" w:name="_Toc4534"/>
      <w:bookmarkStart w:id="57" w:name="_Toc27516"/>
    </w:p>
    <w:p>
      <w:pPr>
        <w:pStyle w:val="7"/>
        <w:spacing w:before="20" w:after="2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3．响应文件</w:t>
      </w:r>
      <w:bookmarkEnd w:id="54"/>
      <w:bookmarkEnd w:id="55"/>
      <w:bookmarkEnd w:id="56"/>
      <w:bookmarkEnd w:id="57"/>
    </w:p>
    <w:p>
      <w:pPr>
        <w:spacing w:line="44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3.1响应文件的组成</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响应文件应包括下列内容：</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见响应文件格式</w:t>
      </w:r>
    </w:p>
    <w:p>
      <w:pP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3.2响应报价</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3.2.1供应商应按竞争性磋商文件的格式要求填写相应表格。</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3.2.2供应商应在响应文件中注明拟提供服务的单价明细和总价。</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3.2.3报价内容包括完成本项目采购需求的全部费用</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lang w:val="en-US" w:eastAsia="zh-CN"/>
        </w:rPr>
        <w:t>包括但不限于课题编制费、人工费、差旅费、食宿费、管理费、专家评审费、利润及税金等全部费用。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3.2.4供应商在响应截止时间前修改响应报价表中的响应总报价，应同时修改报价清单中相应报价。</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3.2.5除非竞争性磋商文件另有规定，每一包只允许有一个最终报价，任何有选择的报价或替代方案将导致响应无效。</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3.2.6采购人不建议供应商采用总价优惠或以总价百分比优惠的方式进行响应报价，其优惠可直接计算并体现在各项响应报价的单价中。</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3.2.7除政策性文件规定以外，供应商所报价格在合同实施期间不因市场变化因素而变动。</w:t>
      </w:r>
    </w:p>
    <w:p>
      <w:pPr>
        <w:spacing w:line="44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3.3响应有效期</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在供应商须知前附表规定的响应有效期内，供应商不得要求撤销或修改其响应文件。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361" w:firstLineChars="150"/>
        <w:rPr>
          <w:rFonts w:hint="eastAsia" w:ascii="宋体" w:hAnsi="宋体" w:eastAsia="宋体" w:cs="宋体"/>
          <w:b/>
          <w:color w:val="auto"/>
          <w:sz w:val="24"/>
          <w:szCs w:val="24"/>
          <w:highlight w:val="none"/>
          <w:lang w:eastAsia="zh-CN"/>
        </w:rPr>
      </w:pPr>
      <w:bookmarkStart w:id="58" w:name="_Toc422395147"/>
      <w:bookmarkStart w:id="59" w:name="_Toc29145223"/>
      <w:bookmarkStart w:id="60" w:name="_Toc395801966"/>
      <w:bookmarkStart w:id="61" w:name="_Toc416271933"/>
      <w:bookmarkStart w:id="62" w:name="_Toc416271404"/>
      <w:r>
        <w:rPr>
          <w:rFonts w:hint="eastAsia" w:ascii="宋体" w:hAnsi="宋体" w:eastAsia="宋体" w:cs="宋体"/>
          <w:b/>
          <w:color w:val="auto"/>
          <w:sz w:val="24"/>
          <w:szCs w:val="24"/>
          <w:highlight w:val="none"/>
        </w:rPr>
        <w:t>3.4 磋商保证金</w:t>
      </w:r>
      <w:bookmarkEnd w:id="58"/>
      <w:bookmarkEnd w:id="59"/>
      <w:bookmarkEnd w:id="60"/>
      <w:bookmarkEnd w:id="61"/>
      <w:bookmarkEnd w:id="62"/>
      <w:r>
        <w:rPr>
          <w:rFonts w:hint="eastAsia" w:ascii="宋体" w:hAnsi="宋体" w:cs="宋体"/>
          <w:b/>
          <w:color w:val="auto"/>
          <w:sz w:val="24"/>
          <w:szCs w:val="24"/>
          <w:highlight w:val="none"/>
          <w:lang w:eastAsia="zh-CN"/>
        </w:rPr>
        <w:t>（本项目无需提交）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供应商在递交响应文件的同时，应按供应商须知前附表规定的金额、担保形式、递交方式递交磋商保证金，并作为其响应文件的组成部分。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供应商不按本章第3.4.1 条要求提交磋商保证金的，其响应文件作废标处理。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3.4.3成交人以外的供应商磋商保证金将在成交通知书发出后5个工作日内予以退还。</w:t>
      </w:r>
    </w:p>
    <w:p>
      <w:pP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3.4.4成交人的磋商保证金在采购人与成交人签订合同后5个工作日内予以退还。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3.4.5有下列情形之一的，磋商保证金将不予退还：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（1）在招标投标活动中串通投标、弄虚作假、以他人名义投标。 </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(2）供应商在规定的投标有效期内撤销或修改其响应文件。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（3）中标候选人除不可抗力外，放弃中标候选资格的。</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(4）成交人在收到成交通知书后，无正当理由拒签合同协议书。</w:t>
      </w:r>
    </w:p>
    <w:p>
      <w:pP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备选响应方案</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本项目不接受备选响应方案。</w:t>
      </w:r>
    </w:p>
    <w:p>
      <w:pP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3.5响应文件的编制和标记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响应文件必须按上述序号或顺序编制，并按规定格式填写响应文件资料清单。响应文件一律胶装，否则作无效标处理。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供应商应认真阅读竞争性磋商文件中所有的事项、格式、条件、条款和规范等要求。</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根据有关条款规定，其响应有可能被拒绝。</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3.5.4除非有特殊要求，竞争性磋商文件不单独提供采购货物使用地的自然环境、气候条件、公用设施等情况，供应商被视为熟悉上述与履行合同有关的一切情况。</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响应文件必须对竞争性磋商文件有关服务期限、响应有效期、质量要求、技术标准和要求、采购范围、人员配备等实质性内容作出响应。</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 响应文件应用不褪色的材料书写或打印，并按竞争性磋商文件规定的格式由供应商的法定代表人（负责人）或其委托代理人签字和盖单位章。委托代理人签字的，响应文件应附法定代表人（负责人）签署的授权委托书。响应文件不得进行涂改、行间插字或删除。如果出现上述情况，响应文件不予评审。</w:t>
      </w:r>
    </w:p>
    <w:p>
      <w:pPr>
        <w:spacing w:line="440" w:lineRule="exact"/>
        <w:ind w:firstLine="480" w:firstLineChars="200"/>
        <w:rPr>
          <w:rFonts w:hint="eastAsia" w:ascii="宋体" w:hAnsi="宋体" w:eastAsia="宋体" w:cs="宋体"/>
          <w:b/>
          <w:color w:val="auto"/>
          <w:sz w:val="24"/>
          <w:szCs w:val="24"/>
          <w:highlight w:val="none"/>
          <w:u w:val="double"/>
        </w:rPr>
      </w:pPr>
      <w:r>
        <w:rPr>
          <w:rFonts w:hint="eastAsia" w:ascii="宋体" w:hAnsi="宋体" w:eastAsia="宋体" w:cs="宋体"/>
          <w:color w:val="auto"/>
          <w:sz w:val="24"/>
          <w:szCs w:val="24"/>
          <w:highlight w:val="none"/>
        </w:rPr>
        <w:t>3.5.7响应文件分</w:t>
      </w:r>
      <w:r>
        <w:rPr>
          <w:rFonts w:hint="eastAsia" w:ascii="宋体" w:hAnsi="宋体" w:eastAsia="宋体" w:cs="宋体"/>
          <w:b/>
          <w:color w:val="auto"/>
          <w:sz w:val="24"/>
          <w:szCs w:val="24"/>
          <w:highlight w:val="none"/>
          <w:u w:val="single"/>
        </w:rPr>
        <w:t>正本壹份、副本</w:t>
      </w:r>
      <w:r>
        <w:rPr>
          <w:rFonts w:hint="eastAsia" w:ascii="宋体" w:hAnsi="宋体" w:cs="宋体"/>
          <w:b/>
          <w:color w:val="auto"/>
          <w:sz w:val="24"/>
          <w:szCs w:val="24"/>
          <w:highlight w:val="none"/>
          <w:u w:val="single"/>
          <w:lang w:eastAsia="zh-CN"/>
        </w:rPr>
        <w:t>贰</w:t>
      </w:r>
      <w:r>
        <w:rPr>
          <w:rFonts w:hint="eastAsia" w:ascii="宋体" w:hAnsi="宋体" w:eastAsia="宋体" w:cs="宋体"/>
          <w:b/>
          <w:color w:val="auto"/>
          <w:sz w:val="24"/>
          <w:szCs w:val="24"/>
          <w:highlight w:val="none"/>
          <w:u w:val="single"/>
        </w:rPr>
        <w:t>份</w:t>
      </w:r>
      <w:r>
        <w:rPr>
          <w:rFonts w:hint="eastAsia" w:ascii="宋体" w:hAnsi="宋体" w:eastAsia="宋体" w:cs="宋体"/>
          <w:b/>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3.5.8响应文件的正本与副本应分别装订成册，并编制目录。</w:t>
      </w:r>
    </w:p>
    <w:p>
      <w:pPr>
        <w:pStyle w:val="7"/>
        <w:spacing w:before="20" w:after="20" w:line="360" w:lineRule="auto"/>
        <w:rPr>
          <w:rFonts w:hint="eastAsia" w:ascii="宋体" w:hAnsi="宋体" w:eastAsia="宋体" w:cs="宋体"/>
          <w:color w:val="auto"/>
          <w:sz w:val="28"/>
          <w:szCs w:val="28"/>
          <w:highlight w:val="none"/>
        </w:rPr>
      </w:pPr>
      <w:bookmarkStart w:id="63" w:name="_Toc12243"/>
      <w:bookmarkStart w:id="64" w:name="_Toc32015"/>
      <w:bookmarkStart w:id="65" w:name="_Toc448070715"/>
      <w:bookmarkStart w:id="66" w:name="_Toc32318"/>
      <w:r>
        <w:rPr>
          <w:rFonts w:hint="eastAsia" w:ascii="宋体" w:hAnsi="宋体" w:eastAsia="宋体" w:cs="宋体"/>
          <w:color w:val="auto"/>
          <w:sz w:val="28"/>
          <w:szCs w:val="28"/>
          <w:highlight w:val="none"/>
        </w:rPr>
        <w:t>4．响应文件密封、递交</w:t>
      </w:r>
      <w:bookmarkEnd w:id="63"/>
      <w:bookmarkEnd w:id="64"/>
      <w:bookmarkEnd w:id="65"/>
      <w:bookmarkEnd w:id="66"/>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 响应文件的密封</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4.1.1响应文件均需</w:t>
      </w:r>
      <w:r>
        <w:rPr>
          <w:rFonts w:hint="eastAsia" w:ascii="宋体" w:hAnsi="宋体" w:eastAsia="宋体" w:cs="宋体"/>
          <w:b/>
          <w:color w:val="auto"/>
          <w:sz w:val="24"/>
          <w:szCs w:val="24"/>
          <w:highlight w:val="none"/>
        </w:rPr>
        <w:t>胶装</w:t>
      </w:r>
      <w:r>
        <w:rPr>
          <w:rFonts w:hint="eastAsia" w:ascii="宋体" w:hAnsi="宋体" w:eastAsia="宋体" w:cs="宋体"/>
          <w:color w:val="auto"/>
          <w:sz w:val="24"/>
          <w:szCs w:val="24"/>
          <w:highlight w:val="none"/>
        </w:rPr>
        <w:t>（响应文件纸质版文件一律胶装，否则做无效标处理），</w:t>
      </w:r>
      <w:r>
        <w:rPr>
          <w:rFonts w:hint="eastAsia" w:ascii="宋体" w:hAnsi="宋体" w:eastAsia="宋体" w:cs="宋体"/>
          <w:bCs/>
          <w:color w:val="auto"/>
          <w:sz w:val="24"/>
          <w:szCs w:val="24"/>
          <w:highlight w:val="none"/>
          <w:lang w:val="zh-CN"/>
        </w:rPr>
        <w:t>正副本分开密封或集中密封均可</w:t>
      </w:r>
      <w:r>
        <w:rPr>
          <w:rFonts w:hint="eastAsia" w:ascii="宋体" w:hAnsi="宋体" w:eastAsia="宋体" w:cs="宋体"/>
          <w:bCs/>
          <w:color w:val="auto"/>
          <w:sz w:val="24"/>
          <w:szCs w:val="24"/>
          <w:highlight w:val="none"/>
        </w:rPr>
        <w:t>,封面表明正本或副本</w:t>
      </w:r>
      <w:r>
        <w:rPr>
          <w:rFonts w:hint="eastAsia" w:ascii="宋体" w:hAnsi="宋体" w:eastAsia="宋体" w:cs="宋体"/>
          <w:b/>
          <w:bCs/>
          <w:color w:val="auto"/>
          <w:sz w:val="24"/>
          <w:szCs w:val="24"/>
          <w:highlight w:val="none"/>
        </w:rPr>
        <w:t>。（拒收散件和活页装订的响应文件）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4.1.2信封封面均应：</w:t>
      </w:r>
    </w:p>
    <w:p>
      <w:pPr>
        <w:spacing w:line="440" w:lineRule="exact"/>
        <w:ind w:firstLine="600" w:firstLineChars="2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⑴写明采购人名称，项目名称</w:t>
      </w:r>
      <w:r>
        <w:rPr>
          <w:rFonts w:hint="eastAsia" w:ascii="宋体" w:hAnsi="宋体" w:cs="宋体"/>
          <w:color w:val="auto"/>
          <w:sz w:val="24"/>
          <w:szCs w:val="24"/>
          <w:highlight w:val="none"/>
          <w:lang w:eastAsia="zh-CN"/>
        </w:rPr>
        <w:t>、标包</w:t>
      </w:r>
      <w:r>
        <w:rPr>
          <w:rFonts w:hint="eastAsia" w:ascii="宋体" w:hAnsi="宋体" w:eastAsia="宋体" w:cs="宋体"/>
          <w:color w:val="auto"/>
          <w:sz w:val="24"/>
          <w:szCs w:val="24"/>
          <w:highlight w:val="none"/>
        </w:rPr>
        <w:t>及供应商名称</w:t>
      </w:r>
      <w:r>
        <w:rPr>
          <w:rFonts w:hint="eastAsia" w:ascii="宋体" w:hAnsi="宋体" w:cs="宋体"/>
          <w:color w:val="auto"/>
          <w:sz w:val="24"/>
          <w:szCs w:val="24"/>
          <w:highlight w:val="none"/>
          <w:lang w:eastAsia="zh-CN"/>
        </w:rPr>
        <w:t>及地址</w:t>
      </w:r>
      <w:r>
        <w:rPr>
          <w:rFonts w:hint="eastAsia" w:ascii="宋体" w:hAnsi="宋体" w:eastAsia="宋体" w:cs="宋体"/>
          <w:color w:val="auto"/>
          <w:sz w:val="24"/>
          <w:szCs w:val="24"/>
          <w:highlight w:val="none"/>
        </w:rPr>
        <w:t>并于袋口密封处加盖公章。</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⑵按供应商须知前附表注明的时间、地址递送至磋商地点。</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4.1.3响应文件的封面上应清楚地标记“正本”或“副本”字样，封套上应按竞争性磋商文件拟定的格式填写有关内容；正副本不一致时，以正本为准。</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4.1.4未按本章4.1.1、4.1.2、4.1.3条要求密封和加写标记的响应文件，将不予接收。</w:t>
      </w:r>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4.2响应文件的递交</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4.2.1 响应截止时间：见供应商须知前附表。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供应商递交响应文件的地点：见供应商须知前附表。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4.2.3供应商递交响应文件后应由</w:t>
      </w:r>
      <w:r>
        <w:rPr>
          <w:rFonts w:hint="eastAsia" w:ascii="宋体" w:hAnsi="宋体" w:eastAsia="宋体" w:cs="宋体"/>
          <w:b/>
          <w:color w:val="auto"/>
          <w:sz w:val="24"/>
          <w:szCs w:val="24"/>
          <w:highlight w:val="none"/>
        </w:rPr>
        <w:t>法定代表人（负责人）或其授权委托代理人</w:t>
      </w:r>
      <w:r>
        <w:rPr>
          <w:rFonts w:hint="eastAsia" w:ascii="宋体" w:hAnsi="宋体" w:eastAsia="宋体" w:cs="宋体"/>
          <w:color w:val="auto"/>
          <w:sz w:val="24"/>
          <w:szCs w:val="24"/>
          <w:highlight w:val="none"/>
        </w:rPr>
        <w:t>在响应文件递交表确认书上签字确认。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逾期送达的或者未送达指定地点的响应文件，采购人不予受理。</w:t>
      </w:r>
    </w:p>
    <w:p>
      <w:pPr>
        <w:spacing w:line="440" w:lineRule="exact"/>
        <w:ind w:firstLine="46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4.3响应文件的修改与撤回</w:t>
      </w:r>
    </w:p>
    <w:p>
      <w:pPr>
        <w:spacing w:line="44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4.3.1供应商在递交响应文件后，可以修改或撤回其响应，但这种修改和撤回，必须在规定的响应截止日期前，并以书面形式通知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。在响应截止时间后，供应商不得再要求修改或撤回其响应文件。</w:t>
      </w:r>
    </w:p>
    <w:p>
      <w:pPr>
        <w:spacing w:line="44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供应商的修改书或撤回通知书，应按规定进行编制、密封、标记和递交，且上标明“修改”或“撤回”字样。</w:t>
      </w:r>
    </w:p>
    <w:p>
      <w:pPr>
        <w:spacing w:line="440" w:lineRule="exact"/>
        <w:ind w:firstLine="465"/>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4.3.3在响应截止日期与竞争性磋商文件规定的有效期终止日之间的这段时间内，供应商不能撤回响应文件。</w:t>
      </w:r>
    </w:p>
    <w:p>
      <w:pPr>
        <w:pStyle w:val="7"/>
        <w:spacing w:before="20" w:after="2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67" w:name="_Toc26630"/>
      <w:bookmarkStart w:id="68" w:name="_Toc448070716"/>
      <w:bookmarkStart w:id="69" w:name="_Toc12916"/>
      <w:bookmarkStart w:id="70" w:name="_Toc28603"/>
      <w:r>
        <w:rPr>
          <w:rFonts w:hint="eastAsia" w:ascii="宋体" w:hAnsi="宋体" w:eastAsia="宋体" w:cs="宋体"/>
          <w:color w:val="auto"/>
          <w:sz w:val="28"/>
          <w:szCs w:val="28"/>
          <w:highlight w:val="none"/>
        </w:rPr>
        <w:t>5．</w:t>
      </w:r>
      <w:bookmarkEnd w:id="67"/>
      <w:bookmarkEnd w:id="68"/>
      <w:r>
        <w:rPr>
          <w:rFonts w:hint="eastAsia" w:ascii="宋体" w:hAnsi="宋体" w:eastAsia="宋体" w:cs="宋体"/>
          <w:color w:val="auto"/>
          <w:sz w:val="28"/>
          <w:szCs w:val="28"/>
          <w:highlight w:val="none"/>
        </w:rPr>
        <w:t>磋商会</w:t>
      </w:r>
      <w:bookmarkEnd w:id="69"/>
      <w:bookmarkEnd w:id="70"/>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5.1磋商时间和地点</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将在供应商须知前附表规定的时间和地点进行磋商，并邀请所有供应商的法定代表人（负责人）或授权委托人准时参加磋商会。</w:t>
      </w:r>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5.2磋商程序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5.2.1主持人按下列程序召开磋商会：</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(l）采购人及监督人员到场情况。</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(2）宣布磋商纪律。</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3）公布在响应截止时间前递交响应文件的供应商名称。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4）由供应商代表检查各自响应文件的密封情况。</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(5）宣布竞争性磋商顺序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(6）磋商会议结束,进入磋商阶段；</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(7）本次磋商程序采用：本次磋商程序为1轮磋商、2轮报价；报价单位的第2轮报价应</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于自已的第1轮报价。</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轮（最终）报价计入商务标评审。</w:t>
      </w:r>
    </w:p>
    <w:p>
      <w:pPr>
        <w:spacing w:line="440" w:lineRule="exact"/>
        <w:ind w:firstLine="360" w:firstLineChars="150"/>
        <w:rPr>
          <w:rFonts w:hint="eastAsia" w:ascii="宋体" w:hAnsi="宋体" w:eastAsia="宋体" w:cs="宋体"/>
          <w:color w:val="auto"/>
          <w:sz w:val="24"/>
          <w:szCs w:val="24"/>
          <w:highlight w:val="none"/>
        </w:rPr>
      </w:pPr>
    </w:p>
    <w:p>
      <w:pPr>
        <w:pStyle w:val="7"/>
        <w:spacing w:before="20" w:after="20" w:line="360" w:lineRule="auto"/>
        <w:rPr>
          <w:rFonts w:hint="eastAsia" w:ascii="宋体" w:hAnsi="宋体" w:eastAsia="宋体" w:cs="宋体"/>
          <w:color w:val="auto"/>
          <w:sz w:val="28"/>
          <w:szCs w:val="28"/>
          <w:highlight w:val="none"/>
        </w:rPr>
      </w:pPr>
      <w:bookmarkStart w:id="71" w:name="_Hlt509649669"/>
      <w:bookmarkEnd w:id="71"/>
      <w:bookmarkStart w:id="72" w:name="_Hlt509650333"/>
      <w:bookmarkEnd w:id="72"/>
      <w:bookmarkStart w:id="73" w:name="_Hlt509650116"/>
      <w:bookmarkEnd w:id="73"/>
      <w:bookmarkStart w:id="74" w:name="_Hlt509650932"/>
      <w:bookmarkEnd w:id="74"/>
      <w:bookmarkStart w:id="75" w:name="_Hlt509649645"/>
      <w:bookmarkEnd w:id="75"/>
      <w:bookmarkStart w:id="76" w:name="_Hlt509650929"/>
      <w:bookmarkEnd w:id="76"/>
      <w:bookmarkStart w:id="77" w:name="_Hlt509650936"/>
      <w:bookmarkEnd w:id="77"/>
      <w:bookmarkStart w:id="78" w:name="_Hlt509649330"/>
      <w:bookmarkEnd w:id="78"/>
      <w:bookmarkStart w:id="79" w:name="_Hlt509650961"/>
      <w:bookmarkEnd w:id="79"/>
      <w:bookmarkStart w:id="80" w:name="_Hlt509650103"/>
      <w:bookmarkEnd w:id="80"/>
      <w:bookmarkStart w:id="81" w:name="_Hlt509649795"/>
      <w:bookmarkEnd w:id="81"/>
      <w:bookmarkStart w:id="82" w:name="_Hlt526418153"/>
      <w:bookmarkEnd w:id="82"/>
      <w:bookmarkStart w:id="83" w:name="_Hlt509649678"/>
      <w:bookmarkEnd w:id="83"/>
      <w:bookmarkStart w:id="84" w:name="_Hlt509650690"/>
      <w:bookmarkEnd w:id="84"/>
      <w:bookmarkStart w:id="85" w:name="_Toc448070717"/>
      <w:bookmarkStart w:id="86" w:name="_Toc7354"/>
      <w:bookmarkStart w:id="87" w:name="_Toc25432"/>
      <w:bookmarkStart w:id="88" w:name="_Toc2552"/>
      <w:r>
        <w:rPr>
          <w:rFonts w:hint="eastAsia" w:ascii="宋体" w:hAnsi="宋体" w:eastAsia="宋体" w:cs="宋体"/>
          <w:color w:val="auto"/>
          <w:sz w:val="28"/>
          <w:szCs w:val="28"/>
          <w:highlight w:val="none"/>
        </w:rPr>
        <w:t>6．</w:t>
      </w:r>
      <w:bookmarkEnd w:id="85"/>
      <w:bookmarkEnd w:id="86"/>
      <w:r>
        <w:rPr>
          <w:rFonts w:hint="eastAsia" w:ascii="宋体" w:hAnsi="宋体" w:eastAsia="宋体" w:cs="宋体"/>
          <w:color w:val="auto"/>
          <w:sz w:val="28"/>
          <w:szCs w:val="28"/>
          <w:highlight w:val="none"/>
        </w:rPr>
        <w:t>磋 商</w:t>
      </w:r>
      <w:bookmarkEnd w:id="87"/>
      <w:bookmarkEnd w:id="88"/>
    </w:p>
    <w:p>
      <w:pPr>
        <w:spacing w:line="44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6.1磋商小组</w:t>
      </w:r>
    </w:p>
    <w:p>
      <w:pPr>
        <w:pStyle w:val="16"/>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6.1.1 磋商由采购人依法组建的磋商小组负责。磋商小组由采购人熟悉相关业务的代表，以及有关技术、经济等方面的专家组成。磋商小组成员人数3人及以上。磋商小组成员的名单在成交结果确定前应当保密。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有下列情形之一的，不得担任磋商小组成员：</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(1）供应商或供应商的主要负责人的近亲属。</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(2）与供应商有经济利益关系，可能影响对响应公正评审的。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(3）曾因在采购响应文件、评审以及其他与采购响应有关活动中从事违法行为而受过行政处罚或刑事处罚的。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磋商小组成员有前款情形之一的，应当主动提出回避。</w:t>
      </w:r>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6.2磋商原则</w:t>
      </w:r>
    </w:p>
    <w:p>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磋商活动遵循公平、公正、科学和择优的原则。</w:t>
      </w:r>
    </w:p>
    <w:p>
      <w:pPr>
        <w:spacing w:line="44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6.3评审</w:t>
      </w:r>
    </w:p>
    <w:p>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磋商按照第三章“评审办法”规定的方法、评审因素、标准和程序对竞争性磋商响应文件进行评审。第三章“评审办法”没有规定的方法、评审因素和标准，不作为评审依据。</w:t>
      </w:r>
    </w:p>
    <w:p>
      <w:pPr>
        <w:pStyle w:val="7"/>
        <w:spacing w:before="20" w:after="20" w:line="360" w:lineRule="auto"/>
        <w:rPr>
          <w:rFonts w:hint="eastAsia" w:ascii="宋体" w:hAnsi="宋体" w:eastAsia="宋体" w:cs="宋体"/>
          <w:color w:val="auto"/>
          <w:sz w:val="28"/>
          <w:szCs w:val="28"/>
          <w:highlight w:val="none"/>
        </w:rPr>
      </w:pPr>
      <w:bookmarkStart w:id="89" w:name="_Toc9575"/>
      <w:bookmarkStart w:id="90" w:name="_Toc29526"/>
      <w:bookmarkStart w:id="91" w:name="_Toc24553"/>
      <w:bookmarkStart w:id="92" w:name="_Toc448070718"/>
      <w:r>
        <w:rPr>
          <w:rFonts w:hint="eastAsia" w:ascii="宋体" w:hAnsi="宋体" w:eastAsia="宋体" w:cs="宋体"/>
          <w:color w:val="auto"/>
          <w:sz w:val="28"/>
          <w:szCs w:val="28"/>
          <w:highlight w:val="none"/>
        </w:rPr>
        <w:t>7．合同授予</w:t>
      </w:r>
      <w:bookmarkEnd w:id="89"/>
      <w:bookmarkEnd w:id="90"/>
      <w:bookmarkEnd w:id="91"/>
      <w:bookmarkEnd w:id="92"/>
    </w:p>
    <w:p>
      <w:pPr>
        <w:spacing w:line="46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7.1合同授予标准</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如无特殊原因和情况，磋商小组将对实质上响应竞争性磋商文件要求的供应商按照竞争性磋商文件规定的办法确定成交候选人的先后顺序。买方将把合同授予实质上响应竞争性磋商文件要求的、报价合理的成交推荐单位。</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7.1.2成交公告</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成交公告将在阜阳市公共资源交易网上公示。</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7.1.3磋商结束后根据需要，有可能对成交候选人进行实地考察。在考察过程中，发现有弄虚作假、业绩不实、挂靠、违法转包等行为的，取消其成交候选人资格。</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7.1.4最低报价并不是被授予合同的保证。</w:t>
      </w:r>
    </w:p>
    <w:p>
      <w:pPr>
        <w:spacing w:line="46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7.2成交通知书</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7.2.1在响应有效期满之前将以书面形式通知成交人，其响应已被接受。</w:t>
      </w:r>
    </w:p>
    <w:p>
      <w:pPr>
        <w:spacing w:line="440" w:lineRule="exact"/>
        <w:ind w:firstLine="5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7.2.2采购人将不对成交和未成交的原因作任何解释。</w:t>
      </w:r>
    </w:p>
    <w:p>
      <w:pPr>
        <w:spacing w:line="440" w:lineRule="exact"/>
        <w:ind w:firstLine="5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7.3签订合同</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7.3.1成交人应在成交通知书发出</w:t>
      </w:r>
      <w:r>
        <w:rPr>
          <w:rFonts w:hint="eastAsia" w:ascii="宋体" w:hAnsi="宋体" w:eastAsia="宋体" w:cs="宋体"/>
          <w:b/>
          <w:snapToGrid w:val="0"/>
          <w:color w:val="auto"/>
          <w:sz w:val="24"/>
          <w:szCs w:val="24"/>
          <w:highlight w:val="none"/>
        </w:rPr>
        <w:t>（电子邮件和电话通知时间视为成交通知书已发出，成交人须在7个工作日内领取纸质版成交通知书）</w:t>
      </w:r>
      <w:r>
        <w:rPr>
          <w:rFonts w:hint="eastAsia" w:ascii="宋体" w:hAnsi="宋体" w:eastAsia="宋体" w:cs="宋体"/>
          <w:color w:val="auto"/>
          <w:sz w:val="24"/>
          <w:szCs w:val="24"/>
          <w:highlight w:val="none"/>
        </w:rPr>
        <w:t>之日起30个工作日 内（具体时间、地点见成交通知书）与采购人签订合同。竞争性磋商文件、成交人的响应文件及澄清文件等，均作为合同的附件。成交人无正当理由拒签合同的，采购人取消其成交资格；给采购人造成的损失的，成交人还应当予以赔偿。</w:t>
      </w:r>
    </w:p>
    <w:p>
      <w:pPr>
        <w:spacing w:line="440" w:lineRule="exact"/>
        <w:ind w:firstLine="5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7.3.2成交人在7.3.1规定的时间内无正当理由拒签合同的，采购人取消其成交资格；采购人有权将按照磋商小组提出的成交候选人名单排序依次确定其他成交候选人为成交人或者作出流标处理；</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7.3.3采购人保留以书面形式要求合同的卖方对其所投设备的装运方式、交货地点及服务等作适当调整的权利。卖方必须在接到买方的变更要求后及时根据本条款提出的调整内容做出同意与否的答复。</w:t>
      </w:r>
    </w:p>
    <w:p>
      <w:pPr>
        <w:spacing w:line="440" w:lineRule="exact"/>
        <w:ind w:firstLine="54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7.4履约保证金</w:t>
      </w:r>
      <w:r>
        <w:rPr>
          <w:rFonts w:hint="eastAsia" w:ascii="宋体" w:hAnsi="宋体" w:cs="宋体"/>
          <w:b/>
          <w:color w:val="auto"/>
          <w:sz w:val="24"/>
          <w:szCs w:val="24"/>
          <w:highlight w:val="none"/>
          <w:lang w:eastAsia="zh-CN"/>
        </w:rPr>
        <w:t>（本项目无需提交）</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7.4.2如果成交人未按照竞争性磋商文件规定交纳有关费用及履约保证金，采购人有权取消该响应。在此情况下采购人可将该标授予其下一个成交候选人，或重新招标。</w:t>
      </w:r>
    </w:p>
    <w:p>
      <w:pPr>
        <w:pStyle w:val="7"/>
        <w:spacing w:before="20" w:after="20" w:line="360" w:lineRule="auto"/>
        <w:rPr>
          <w:rFonts w:hint="eastAsia" w:ascii="宋体" w:hAnsi="宋体" w:eastAsia="宋体" w:cs="宋体"/>
          <w:color w:val="auto"/>
          <w:sz w:val="28"/>
          <w:szCs w:val="28"/>
          <w:highlight w:val="none"/>
        </w:rPr>
      </w:pPr>
      <w:bookmarkStart w:id="93" w:name="_Toc448070719"/>
      <w:bookmarkStart w:id="94" w:name="_Toc17002"/>
      <w:bookmarkStart w:id="95" w:name="_Toc18742"/>
      <w:bookmarkStart w:id="96" w:name="_Toc18156"/>
      <w:r>
        <w:rPr>
          <w:rFonts w:hint="eastAsia" w:ascii="宋体" w:hAnsi="宋体" w:eastAsia="宋体" w:cs="宋体"/>
          <w:color w:val="auto"/>
          <w:sz w:val="28"/>
          <w:szCs w:val="28"/>
          <w:highlight w:val="none"/>
        </w:rPr>
        <w:t>8．重新采购</w:t>
      </w:r>
      <w:bookmarkEnd w:id="93"/>
      <w:bookmarkEnd w:id="94"/>
      <w:bookmarkEnd w:id="95"/>
      <w:bookmarkEnd w:id="96"/>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8.1重新采购</w:t>
      </w:r>
    </w:p>
    <w:p>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1、有下列情形之一的，将对该项目重新采购：</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(1)响应截止时，供应商少于3个的。</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(2)经磋商小组评审后否决所有响应的。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2、重新采购后供应商仍少于3个或者所有响应被否决的，属于必须审批或核准的采购项目，经原审批或核准部门批准后可以单一来源方式进行采购。</w:t>
      </w:r>
    </w:p>
    <w:p>
      <w:pPr>
        <w:pStyle w:val="7"/>
        <w:spacing w:before="20" w:after="2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97" w:name="_Toc22868"/>
      <w:bookmarkStart w:id="98" w:name="_Toc10055"/>
      <w:r>
        <w:rPr>
          <w:rFonts w:hint="eastAsia" w:ascii="宋体" w:hAnsi="宋体" w:eastAsia="宋体" w:cs="宋体"/>
          <w:color w:val="auto"/>
          <w:sz w:val="28"/>
          <w:szCs w:val="28"/>
          <w:highlight w:val="none"/>
        </w:rPr>
        <w:t>9.知识产权</w:t>
      </w:r>
      <w:bookmarkEnd w:id="97"/>
      <w:bookmarkEnd w:id="98"/>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（2）响应报价应包含所有应向所有权人支付的专利权、商标权或其它知识产权的一切相关费用。</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（3）系统软件、通用软件必须是具有在中国境内的合法使用权或版权的正版软件，涉及到第三方提出侵权或知识产权的起诉及支付版税等费用由供应商承担所有责任及费用。</w:t>
      </w:r>
    </w:p>
    <w:p>
      <w:pPr>
        <w:pStyle w:val="7"/>
        <w:spacing w:before="20" w:after="2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99" w:name="_Toc22291"/>
      <w:bookmarkStart w:id="100" w:name="_Toc17119"/>
      <w:bookmarkStart w:id="101" w:name="_Toc23111"/>
      <w:bookmarkStart w:id="102" w:name="_Toc448070720"/>
      <w:r>
        <w:rPr>
          <w:rFonts w:hint="eastAsia" w:ascii="宋体" w:hAnsi="宋体" w:eastAsia="宋体" w:cs="宋体"/>
          <w:color w:val="auto"/>
          <w:sz w:val="28"/>
          <w:szCs w:val="28"/>
          <w:highlight w:val="none"/>
        </w:rPr>
        <w:t>10．纪律和监督</w:t>
      </w:r>
      <w:bookmarkEnd w:id="99"/>
      <w:bookmarkEnd w:id="100"/>
      <w:bookmarkEnd w:id="101"/>
      <w:bookmarkEnd w:id="102"/>
    </w:p>
    <w:p>
      <w:pPr>
        <w:spacing w:line="440" w:lineRule="exact"/>
        <w:ind w:firstLine="236" w:firstLineChars="9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10．1对采购人的纪律要求</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采购人不得泄漏采购响应活动中应当保密的情况和资料，不得与供应商串通损害国家利益、社会公共利益或者他人合法权益。</w:t>
      </w:r>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10.2对供应商的纪律要求</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相互串通响应或者与采购人串通响应，不得与磋商小组成员串通谋取成交，不得以他人名义响应或者以其他方式弄虚作假骗取成交；供应商不得以任何方式干扰、影响磋商工作。参加磋商会人员：本项目的授权委托人或法定代表人（负责人），以上人员须按时到场参加磋商会，否则响应文件不予评审。</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10.3对磋商小组成员的纪律要求</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不得与采购人或者供应商串通，滥用职权影响对响应文件的客观公正评审，磋商小组成员不得收受他人的财物或者其他好处，不得向他人透漏对响应文件的评审和比较、成交候选人的推荐情况以及磋商有关的其他情况。在磋商活动中，磋商小组成员不得擅离职守，影响磋商程序正常进行。</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10.4对与磋商活动有关的工作人员的纪律要求</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pPr>
        <w:spacing w:line="440" w:lineRule="exact"/>
        <w:ind w:firstLine="120" w:firstLineChars="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10.5异议、投诉</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10.5.1、受理异议（质疑）的联系方式：</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采购代理机构：安徽新天源建设咨询有限公司 </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地址：阜阳市颍州区金悦金融中心写字楼B栋11楼</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联系人：邢莉燕</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电话/传真： 0558-2177133</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10.5.2、对竞争性磋商文件的异议（质疑）：</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供应商未在本竞争性磋商文件规定的时间内提出澄清要求或未在竞争性磋商文件规定时间前提出异议（质疑）的，视为其对本竞争性磋商文件无异议（质疑），不得在竞争性磋商文件规定时间后对竞争性磋商文件相关内容提出异议（质疑）或投诉。相关部门依法不予受理。 </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10.5.3、对开标过程提出异议（质疑）的，应于开标现场提出。</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10.5.4、对磋商结果的异议（质疑）：</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招标响应相关各方对磋商结果有异议（质疑），应在公示期内以书面形式向安徽新天源建设咨询有限公司或采购人提出。</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（1）书面异议（质疑）材料应当包括以下内容：</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①提出异议（质疑）的供应商的名称、地址及有效联系方式；</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②异议（质疑）对象的供应商的名称；</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③异议（质疑）事项的基本事实；</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④相关请求和主张；</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⑤有效线索和相关证明材料；</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（2）有下列情形的异议（质疑）材料不予受理：</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①书面异议（质疑）材料不完整的；</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②异议（质疑）事项含有主观猜测等内容且无充分有效证据的；</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③对其他供应商的响应文件详细内容异议（质疑），无法提供合法来源渠道的；</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④违反相关法律法规的。</w:t>
      </w:r>
    </w:p>
    <w:p>
      <w:pPr>
        <w:tabs>
          <w:tab w:val="left" w:pos="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①一年内三次以上投诉均查无实据的；</w:t>
      </w:r>
    </w:p>
    <w:p>
      <w:pPr>
        <w:tabs>
          <w:tab w:val="left" w:pos="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②捏造事实或者提供虚假投诉材料的；</w:t>
      </w:r>
    </w:p>
    <w:p>
      <w:pPr>
        <w:tabs>
          <w:tab w:val="left" w:pos="0"/>
        </w:tabs>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sz w:val="24"/>
          <w:szCs w:val="24"/>
          <w:highlight w:val="none"/>
        </w:rPr>
        <w:t>③其他经认定属于虚假、恶意投诉的行为。</w:t>
      </w:r>
    </w:p>
    <w:p>
      <w:pPr>
        <w:pStyle w:val="29"/>
        <w:spacing w:before="0" w:line="360" w:lineRule="auto"/>
        <w:jc w:val="center"/>
        <w:rPr>
          <w:rFonts w:hint="eastAsia" w:ascii="宋体" w:hAnsi="宋体" w:eastAsia="宋体" w:cs="宋体"/>
          <w:b/>
          <w:color w:val="auto"/>
          <w:sz w:val="24"/>
          <w:szCs w:val="24"/>
          <w:highlight w:val="none"/>
        </w:rPr>
      </w:pPr>
      <w:bookmarkStart w:id="103" w:name="_Toc13310"/>
      <w:bookmarkStart w:id="104" w:name="_Toc448070722"/>
      <w:bookmarkStart w:id="105" w:name="_Toc7324"/>
      <w:bookmarkStart w:id="106" w:name="_Toc27029"/>
      <w:r>
        <w:rPr>
          <w:rFonts w:hint="eastAsia" w:ascii="宋体" w:hAnsi="宋体" w:eastAsia="宋体" w:cs="宋体"/>
          <w:b/>
          <w:color w:val="auto"/>
          <w:sz w:val="24"/>
          <w:szCs w:val="24"/>
          <w:highlight w:val="none"/>
        </w:rPr>
        <w:t>11．解释权</w:t>
      </w:r>
      <w:bookmarkEnd w:id="103"/>
      <w:bookmarkEnd w:id="104"/>
      <w:bookmarkEnd w:id="105"/>
      <w:bookmarkEnd w:id="106"/>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12.1本竞争性磋商文件的解释权属于采购人。</w:t>
      </w:r>
    </w:p>
    <w:p>
      <w:pPr>
        <w:spacing w:line="440" w:lineRule="exact"/>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12.2未尽事宜，按有关法律法规的规定执行。</w:t>
      </w:r>
    </w:p>
    <w:p>
      <w:pPr>
        <w:spacing w:line="440" w:lineRule="exact"/>
        <w:rPr>
          <w:rFonts w:hint="eastAsia" w:ascii="宋体" w:hAnsi="宋体" w:eastAsia="宋体" w:cs="宋体"/>
          <w:color w:val="auto"/>
          <w:szCs w:val="21"/>
          <w:highlight w:val="none"/>
        </w:rPr>
        <w:sectPr>
          <w:footerReference r:id="rId5" w:type="default"/>
          <w:pgSz w:w="11907" w:h="16840"/>
          <w:pgMar w:top="1247" w:right="1417" w:bottom="1247" w:left="1417" w:header="851" w:footer="992" w:gutter="0"/>
          <w:pgNumType w:start="1"/>
          <w:cols w:space="0" w:num="1"/>
          <w:rtlGutter w:val="0"/>
          <w:docGrid w:linePitch="303" w:charSpace="0"/>
        </w:sectPr>
      </w:pPr>
    </w:p>
    <w:p>
      <w:pPr>
        <w:pStyle w:val="5"/>
        <w:spacing w:line="240" w:lineRule="auto"/>
        <w:jc w:val="center"/>
        <w:rPr>
          <w:rFonts w:hint="eastAsia" w:ascii="宋体" w:hAnsi="宋体" w:eastAsia="宋体" w:cs="宋体"/>
          <w:color w:val="auto"/>
          <w:sz w:val="32"/>
          <w:szCs w:val="32"/>
          <w:highlight w:val="none"/>
        </w:rPr>
      </w:pPr>
      <w:bookmarkStart w:id="107" w:name="_Toc26801_WPSOffice_Level1"/>
      <w:bookmarkStart w:id="108" w:name="_Toc13562_WPSOffice_Level1"/>
      <w:bookmarkStart w:id="109" w:name="_Toc15058"/>
      <w:bookmarkStart w:id="110" w:name="_Toc12768_WPSOffice_Level1"/>
      <w:bookmarkStart w:id="111" w:name="_Toc406076943"/>
      <w:bookmarkStart w:id="112" w:name="_Toc406076874"/>
      <w:r>
        <w:rPr>
          <w:rFonts w:hint="eastAsia" w:ascii="宋体" w:hAnsi="宋体" w:eastAsia="宋体" w:cs="宋体"/>
          <w:color w:val="auto"/>
          <w:sz w:val="32"/>
          <w:szCs w:val="32"/>
          <w:highlight w:val="none"/>
        </w:rPr>
        <w:t>第三章 磋商办法</w:t>
      </w:r>
      <w:bookmarkEnd w:id="107"/>
      <w:bookmarkEnd w:id="108"/>
      <w:bookmarkEnd w:id="109"/>
      <w:bookmarkEnd w:id="110"/>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根据《政府采购法》等有关规定，为规范本采购项目竞争性磋商的磋商工作，制定本办法。</w:t>
      </w:r>
      <w:r>
        <w:rPr>
          <w:rFonts w:hint="eastAsia" w:ascii="宋体" w:hAnsi="宋体" w:eastAsia="宋体" w:cs="宋体"/>
          <w:b/>
          <w:color w:val="auto"/>
          <w:sz w:val="24"/>
          <w:highlight w:val="none"/>
        </w:rPr>
        <w:t>磋商小组先对磋商响应文件及供应商进行</w:t>
      </w:r>
      <w:r>
        <w:rPr>
          <w:rFonts w:hint="eastAsia" w:ascii="宋体" w:hAnsi="宋体" w:eastAsia="宋体" w:cs="宋体"/>
          <w:b/>
          <w:color w:val="auto"/>
          <w:kern w:val="0"/>
          <w:sz w:val="24"/>
          <w:highlight w:val="none"/>
        </w:rPr>
        <w:t>初审指标评审（初步评审），</w:t>
      </w:r>
      <w:r>
        <w:rPr>
          <w:rFonts w:hint="eastAsia" w:ascii="宋体" w:hAnsi="宋体" w:eastAsia="宋体" w:cs="宋体"/>
          <w:b/>
          <w:color w:val="auto"/>
          <w:sz w:val="24"/>
          <w:highlight w:val="none"/>
        </w:rPr>
        <w:t>有一项不符合初审标准的，作无效标处理。</w:t>
      </w:r>
      <w:r>
        <w:rPr>
          <w:rFonts w:hint="eastAsia" w:ascii="宋体" w:hAnsi="宋体" w:eastAsia="宋体" w:cs="宋体"/>
          <w:b/>
          <w:color w:val="auto"/>
          <w:kern w:val="0"/>
          <w:sz w:val="24"/>
          <w:highlight w:val="none"/>
        </w:rPr>
        <w:t>初审指标评审后</w:t>
      </w:r>
      <w:r>
        <w:rPr>
          <w:rFonts w:hint="eastAsia" w:ascii="宋体" w:hAnsi="宋体" w:eastAsia="宋体" w:cs="宋体"/>
          <w:b/>
          <w:color w:val="auto"/>
          <w:sz w:val="24"/>
          <w:highlight w:val="none"/>
        </w:rPr>
        <w:t>再进行综合评审。</w:t>
      </w:r>
    </w:p>
    <w:p>
      <w:pPr>
        <w:widowControl/>
        <w:adjustRightInd w:val="0"/>
        <w:snapToGrid w:val="0"/>
        <w:spacing w:line="500" w:lineRule="exact"/>
        <w:jc w:val="center"/>
        <w:rPr>
          <w:rFonts w:hint="eastAsia" w:ascii="宋体" w:hAnsi="宋体" w:eastAsia="宋体" w:cs="宋体"/>
          <w:b/>
          <w:color w:val="auto"/>
          <w:kern w:val="0"/>
          <w:sz w:val="28"/>
          <w:szCs w:val="28"/>
          <w:highlight w:val="none"/>
        </w:rPr>
      </w:pPr>
      <w:bookmarkStart w:id="113" w:name="_Toc21209_WPSOffice_Level2"/>
      <w:bookmarkStart w:id="114" w:name="_Toc27343_WPSOffice_Level2"/>
      <w:bookmarkStart w:id="115" w:name="_Toc23773_WPSOffice_Level1"/>
      <w:bookmarkStart w:id="116" w:name="_Toc16148_WPSOffice_Level1"/>
      <w:r>
        <w:rPr>
          <w:rFonts w:hint="eastAsia" w:ascii="宋体" w:hAnsi="宋体" w:eastAsia="宋体" w:cs="宋体"/>
          <w:b/>
          <w:color w:val="auto"/>
          <w:kern w:val="0"/>
          <w:sz w:val="28"/>
          <w:szCs w:val="28"/>
          <w:highlight w:val="none"/>
        </w:rPr>
        <w:t>附表一：资格评审及符合性评审表</w:t>
      </w:r>
      <w:bookmarkEnd w:id="113"/>
      <w:bookmarkEnd w:id="114"/>
      <w:r>
        <w:rPr>
          <w:rFonts w:hint="eastAsia" w:ascii="宋体" w:hAnsi="宋体" w:eastAsia="宋体" w:cs="宋体"/>
          <w:b/>
          <w:color w:val="auto"/>
          <w:kern w:val="0"/>
          <w:sz w:val="28"/>
          <w:szCs w:val="28"/>
          <w:highlight w:val="none"/>
        </w:rPr>
        <w:t>（初步评审）</w:t>
      </w:r>
      <w:bookmarkEnd w:id="115"/>
      <w:bookmarkEnd w:id="116"/>
    </w:p>
    <w:tbl>
      <w:tblPr>
        <w:tblStyle w:val="17"/>
        <w:tblW w:w="91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7"/>
        <w:gridCol w:w="2934"/>
        <w:gridCol w:w="4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9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评审因素</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w:t>
            </w:r>
          </w:p>
        </w:tc>
        <w:tc>
          <w:tcPr>
            <w:tcW w:w="29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zh-CN"/>
              </w:rPr>
              <w:t>营业执照</w:t>
            </w:r>
            <w:r>
              <w:rPr>
                <w:rFonts w:hint="eastAsia" w:ascii="宋体" w:hAnsi="宋体" w:cs="宋体"/>
                <w:color w:val="auto"/>
                <w:kern w:val="0"/>
                <w:sz w:val="24"/>
                <w:szCs w:val="24"/>
                <w:highlight w:val="none"/>
                <w:lang w:val="zh-CN"/>
              </w:rPr>
              <w:t>或组织机构代码证或统一信用代码</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有效并符合磋商文件要求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2</w:t>
            </w:r>
          </w:p>
        </w:tc>
        <w:tc>
          <w:tcPr>
            <w:tcW w:w="2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zh-CN"/>
              </w:rPr>
              <w:t>类似业绩</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近五年</w:t>
            </w:r>
            <w:r>
              <w:rPr>
                <w:rFonts w:hint="eastAsia" w:ascii="宋体" w:hAnsi="宋体" w:eastAsia="宋体" w:cs="宋体"/>
                <w:color w:val="auto"/>
                <w:kern w:val="0"/>
                <w:sz w:val="24"/>
                <w:szCs w:val="24"/>
                <w:highlight w:val="none"/>
                <w:lang w:eastAsia="zh-CN"/>
              </w:rPr>
              <w:t>（自公告发布之日起向前追溯五年，以合同签订时间为准）</w:t>
            </w:r>
            <w:r>
              <w:rPr>
                <w:rFonts w:hint="eastAsia" w:ascii="宋体" w:hAnsi="宋体" w:eastAsia="宋体" w:cs="宋体"/>
                <w:color w:val="auto"/>
                <w:kern w:val="0"/>
                <w:sz w:val="24"/>
                <w:szCs w:val="24"/>
                <w:highlight w:val="none"/>
              </w:rPr>
              <w:t>承担</w:t>
            </w:r>
            <w:r>
              <w:rPr>
                <w:rFonts w:hint="eastAsia" w:ascii="宋体" w:hAnsi="宋体" w:eastAsia="宋体" w:cs="宋体"/>
                <w:color w:val="auto"/>
                <w:kern w:val="0"/>
                <w:sz w:val="24"/>
                <w:szCs w:val="24"/>
                <w:highlight w:val="none"/>
                <w:lang w:eastAsia="zh-CN"/>
              </w:rPr>
              <w:t>过</w:t>
            </w:r>
            <w:r>
              <w:rPr>
                <w:rFonts w:hint="eastAsia" w:ascii="宋体" w:hAnsi="宋体" w:eastAsia="宋体" w:cs="宋体"/>
                <w:color w:val="auto"/>
                <w:kern w:val="0"/>
                <w:sz w:val="24"/>
                <w:szCs w:val="24"/>
                <w:highlight w:val="none"/>
              </w:rPr>
              <w:t>市级</w:t>
            </w:r>
            <w:r>
              <w:rPr>
                <w:rFonts w:hint="eastAsia" w:ascii="宋体" w:hAnsi="宋体" w:eastAsia="宋体" w:cs="宋体"/>
                <w:color w:val="auto"/>
                <w:kern w:val="0"/>
                <w:sz w:val="24"/>
                <w:szCs w:val="24"/>
                <w:highlight w:val="none"/>
                <w:lang w:eastAsia="zh-CN"/>
              </w:rPr>
              <w:t>及以上相关研究课题（提供合同复印件）。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w:t>
            </w:r>
          </w:p>
        </w:tc>
        <w:tc>
          <w:tcPr>
            <w:tcW w:w="2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投标供应商名称</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lang w:val="zh-CN"/>
              </w:rPr>
              <w:t>营业执照</w:t>
            </w:r>
            <w:r>
              <w:rPr>
                <w:rFonts w:hint="eastAsia" w:ascii="宋体" w:hAnsi="宋体" w:cs="宋体"/>
                <w:color w:val="auto"/>
                <w:kern w:val="0"/>
                <w:sz w:val="24"/>
                <w:szCs w:val="24"/>
                <w:highlight w:val="none"/>
                <w:lang w:val="zh-CN"/>
              </w:rPr>
              <w:t>或组织机构代码证或统一信用代码</w:t>
            </w:r>
            <w:r>
              <w:rPr>
                <w:rFonts w:hint="eastAsia" w:ascii="宋体" w:hAnsi="宋体" w:eastAsia="宋体" w:cs="宋体"/>
                <w:color w:val="auto"/>
                <w:kern w:val="0"/>
                <w:sz w:val="24"/>
                <w:szCs w:val="24"/>
                <w:highlight w:val="none"/>
              </w:rPr>
              <w:t>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4</w:t>
            </w:r>
          </w:p>
        </w:tc>
        <w:tc>
          <w:tcPr>
            <w:tcW w:w="2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rPr>
              <w:t>投标</w:t>
            </w:r>
            <w:r>
              <w:rPr>
                <w:rFonts w:hint="eastAsia" w:ascii="宋体" w:hAnsi="宋体" w:cs="宋体"/>
                <w:bCs/>
                <w:color w:val="auto"/>
                <w:sz w:val="24"/>
                <w:szCs w:val="24"/>
                <w:highlight w:val="none"/>
                <w:lang w:eastAsia="zh-CN"/>
              </w:rPr>
              <w:t>文件格式</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投标函签字盖章</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9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项目完成期限</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9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免费</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期</w:t>
            </w:r>
          </w:p>
        </w:tc>
        <w:tc>
          <w:tcPr>
            <w:tcW w:w="4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符合磋商文件要求</w:t>
            </w:r>
          </w:p>
        </w:tc>
      </w:tr>
    </w:tbl>
    <w:p>
      <w:pPr>
        <w:widowControl/>
        <w:adjustRightInd w:val="0"/>
        <w:snapToGrid w:val="0"/>
        <w:spacing w:line="400" w:lineRule="exact"/>
        <w:jc w:val="center"/>
        <w:rPr>
          <w:rFonts w:hint="eastAsia" w:ascii="宋体" w:hAnsi="宋体" w:eastAsia="宋体" w:cs="宋体"/>
          <w:b/>
          <w:color w:val="auto"/>
          <w:kern w:val="0"/>
          <w:sz w:val="28"/>
          <w:szCs w:val="28"/>
          <w:highlight w:val="none"/>
        </w:rPr>
      </w:pPr>
      <w:bookmarkStart w:id="117" w:name="_Toc6300_WPSOffice_Level2"/>
      <w:bookmarkStart w:id="118" w:name="_Toc9884_WPSOffice_Level2"/>
    </w:p>
    <w:p>
      <w:pPr>
        <w:widowControl/>
        <w:adjustRightInd w:val="0"/>
        <w:snapToGrid w:val="0"/>
        <w:spacing w:line="400" w:lineRule="exact"/>
        <w:jc w:val="center"/>
        <w:rPr>
          <w:rFonts w:hint="eastAsia" w:ascii="宋体" w:hAnsi="宋体" w:eastAsia="宋体" w:cs="宋体"/>
          <w:b/>
          <w:color w:val="auto"/>
          <w:kern w:val="0"/>
          <w:sz w:val="28"/>
          <w:szCs w:val="28"/>
          <w:highlight w:val="none"/>
        </w:rPr>
      </w:pPr>
    </w:p>
    <w:p>
      <w:pPr>
        <w:widowControl/>
        <w:adjustRightInd w:val="0"/>
        <w:snapToGrid w:val="0"/>
        <w:spacing w:line="40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bookmarkStart w:id="119" w:name="_Toc19287_WPSOffice_Level1"/>
      <w:bookmarkStart w:id="120" w:name="_Toc30249_WPSOffice_Level1"/>
      <w:r>
        <w:rPr>
          <w:rFonts w:hint="eastAsia" w:ascii="宋体" w:hAnsi="宋体" w:eastAsia="宋体" w:cs="宋体"/>
          <w:b/>
          <w:color w:val="auto"/>
          <w:kern w:val="0"/>
          <w:sz w:val="28"/>
          <w:szCs w:val="28"/>
          <w:highlight w:val="none"/>
        </w:rPr>
        <w:t>附表二：综合评审表</w:t>
      </w:r>
      <w:bookmarkEnd w:id="117"/>
      <w:bookmarkEnd w:id="118"/>
      <w:bookmarkEnd w:id="119"/>
      <w:bookmarkEnd w:id="120"/>
    </w:p>
    <w:tbl>
      <w:tblPr>
        <w:tblStyle w:val="17"/>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886"/>
        <w:gridCol w:w="1028"/>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2" w:hRule="atLeast"/>
          <w:jc w:val="center"/>
        </w:trPr>
        <w:tc>
          <w:tcPr>
            <w:tcW w:w="1318" w:type="dxa"/>
            <w:gridSpan w:val="2"/>
            <w:shd w:val="clear" w:color="auto" w:fill="E0E0E0"/>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color w:val="auto"/>
                <w:sz w:val="24"/>
                <w:shd w:val="clear" w:color="FFFFFF" w:fill="D9D9D9"/>
                <w:lang w:val="zh-CN"/>
              </w:rPr>
            </w:pPr>
            <w:bookmarkStart w:id="121" w:name="_Toc22028_WPSOffice_Level1"/>
            <w:bookmarkStart w:id="122" w:name="_Toc913_WPSOffice_Level1"/>
            <w:r>
              <w:rPr>
                <w:rFonts w:hint="eastAsia" w:ascii="宋体" w:hAnsi="宋体" w:cs="宋体"/>
                <w:color w:val="auto"/>
                <w:sz w:val="24"/>
                <w:shd w:val="clear" w:color="FFFFFF" w:fill="D9D9D9"/>
              </w:rPr>
              <w:t>评标项目</w:t>
            </w:r>
          </w:p>
        </w:tc>
        <w:tc>
          <w:tcPr>
            <w:tcW w:w="1028" w:type="dxa"/>
            <w:shd w:val="clear" w:color="auto" w:fill="E0E0E0"/>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color w:val="auto"/>
                <w:sz w:val="24"/>
                <w:shd w:val="clear" w:color="FFFFFF" w:fill="D9D9D9"/>
                <w:lang w:val="zh-CN"/>
              </w:rPr>
            </w:pPr>
            <w:r>
              <w:rPr>
                <w:rFonts w:hint="eastAsia" w:ascii="宋体" w:hAnsi="宋体" w:cs="宋体"/>
                <w:color w:val="auto"/>
                <w:sz w:val="24"/>
                <w:shd w:val="clear" w:color="FFFFFF" w:fill="D9D9D9"/>
              </w:rPr>
              <w:t>分值</w:t>
            </w:r>
          </w:p>
        </w:tc>
        <w:tc>
          <w:tcPr>
            <w:tcW w:w="7194" w:type="dxa"/>
            <w:shd w:val="clear" w:color="auto" w:fill="E0E0E0"/>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color w:val="auto"/>
                <w:sz w:val="24"/>
                <w:shd w:val="clear" w:color="FFFFFF" w:fill="D9D9D9"/>
                <w:lang w:val="zh-CN"/>
              </w:rPr>
            </w:pPr>
            <w:r>
              <w:rPr>
                <w:rFonts w:hint="eastAsia" w:ascii="宋体" w:hAnsi="宋体" w:cs="宋体"/>
                <w:color w:val="auto"/>
                <w:sz w:val="24"/>
                <w:shd w:val="clear" w:color="FFFFFF" w:fill="D9D9D9"/>
                <w:lang w:val="zh-CN"/>
              </w:rPr>
              <w:t>评标内容及标准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4" w:hRule="atLeast"/>
          <w:jc w:val="center"/>
        </w:trPr>
        <w:tc>
          <w:tcPr>
            <w:tcW w:w="432"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lang w:val="zh-CN"/>
              </w:rPr>
            </w:pPr>
            <w:r>
              <w:rPr>
                <w:rFonts w:ascii="宋体" w:hAnsi="宋体" w:cs="宋体"/>
                <w:bCs/>
                <w:color w:val="auto"/>
                <w:sz w:val="24"/>
              </w:rPr>
              <w:t>1</w:t>
            </w:r>
          </w:p>
        </w:tc>
        <w:tc>
          <w:tcPr>
            <w:tcW w:w="886"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s="宋体"/>
                <w:bCs/>
                <w:color w:val="auto"/>
                <w:sz w:val="24"/>
              </w:rPr>
              <w:t>商务标</w:t>
            </w:r>
            <w:r>
              <w:rPr>
                <w:rFonts w:ascii="宋体" w:hAnsi="宋体" w:cs="宋体"/>
                <w:bCs/>
                <w:color w:val="auto"/>
                <w:sz w:val="24"/>
                <w:lang w:val="zh-CN"/>
              </w:rPr>
              <w:t xml:space="preserve">     </w:t>
            </w:r>
            <w:r>
              <w:rPr>
                <w:rFonts w:hint="eastAsia" w:ascii="宋体" w:hAnsi="宋体" w:cs="宋体"/>
                <w:bCs/>
                <w:color w:val="auto"/>
                <w:sz w:val="24"/>
                <w:lang w:val="zh-CN"/>
              </w:rPr>
              <w:t>（</w:t>
            </w:r>
            <w:r>
              <w:rPr>
                <w:rFonts w:ascii="宋体" w:hAnsi="宋体" w:cs="宋体"/>
                <w:bCs/>
                <w:color w:val="auto"/>
                <w:sz w:val="24"/>
              </w:rPr>
              <w:t>10</w:t>
            </w:r>
            <w:r>
              <w:rPr>
                <w:rFonts w:hint="eastAsia" w:ascii="宋体" w:hAnsi="宋体" w:cs="宋体"/>
                <w:bCs/>
                <w:color w:val="auto"/>
                <w:sz w:val="24"/>
                <w:lang w:val="zh-CN"/>
              </w:rPr>
              <w:t>分）</w:t>
            </w:r>
          </w:p>
        </w:tc>
        <w:tc>
          <w:tcPr>
            <w:tcW w:w="102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lang w:val="zh-CN"/>
              </w:rPr>
            </w:pPr>
            <w:r>
              <w:rPr>
                <w:rFonts w:hint="eastAsia" w:ascii="宋体" w:hAnsi="宋体" w:cs="宋体"/>
                <w:bCs/>
                <w:color w:val="auto"/>
                <w:sz w:val="24"/>
              </w:rPr>
              <w:t>磋商报价（</w:t>
            </w:r>
            <w:r>
              <w:rPr>
                <w:rFonts w:ascii="宋体" w:hAnsi="宋体" w:cs="宋体"/>
                <w:bCs/>
                <w:color w:val="auto"/>
                <w:sz w:val="24"/>
              </w:rPr>
              <w:t>10</w:t>
            </w:r>
            <w:r>
              <w:rPr>
                <w:rFonts w:hint="eastAsia" w:ascii="宋体" w:hAnsi="宋体" w:cs="宋体"/>
                <w:bCs/>
                <w:color w:val="auto"/>
                <w:sz w:val="24"/>
                <w:lang w:val="zh-CN"/>
              </w:rPr>
              <w:t>分）</w:t>
            </w:r>
          </w:p>
        </w:tc>
        <w:tc>
          <w:tcPr>
            <w:tcW w:w="719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lang w:val="zh-CN"/>
              </w:rPr>
            </w:pPr>
            <w:r>
              <w:rPr>
                <w:rFonts w:hint="eastAsia" w:ascii="宋体" w:hAnsi="宋体" w:cs="宋体"/>
                <w:bCs/>
                <w:color w:val="auto"/>
                <w:sz w:val="24"/>
                <w:lang w:val="zh-CN"/>
              </w:rPr>
              <w:t>满足磋商文件要求且最终磋商报价最低的为磋商基准价，其投标报价得</w:t>
            </w:r>
            <w:r>
              <w:rPr>
                <w:rFonts w:ascii="宋体" w:hAnsi="宋体" w:cs="宋体"/>
                <w:bCs/>
                <w:color w:val="auto"/>
                <w:sz w:val="24"/>
              </w:rPr>
              <w:t>10</w:t>
            </w:r>
            <w:r>
              <w:rPr>
                <w:rFonts w:hint="eastAsia" w:ascii="宋体" w:hAnsi="宋体" w:cs="宋体"/>
                <w:bCs/>
                <w:color w:val="auto"/>
                <w:sz w:val="24"/>
                <w:lang w:val="zh-CN"/>
              </w:rPr>
              <w:t>分，其他投标供应商的投标报价得分按照下列公式计算：投标报价得分</w:t>
            </w:r>
            <w:r>
              <w:rPr>
                <w:rFonts w:ascii="宋体" w:hAnsi="宋体" w:cs="宋体"/>
                <w:bCs/>
                <w:color w:val="auto"/>
                <w:sz w:val="24"/>
                <w:lang w:val="zh-CN"/>
              </w:rPr>
              <w:t>=</w:t>
            </w:r>
            <w:r>
              <w:rPr>
                <w:rFonts w:hint="eastAsia" w:ascii="宋体" w:hAnsi="宋体" w:cs="宋体"/>
                <w:bCs/>
                <w:color w:val="auto"/>
                <w:sz w:val="24"/>
                <w:lang w:val="zh-CN"/>
              </w:rPr>
              <w:t>（磋商基准价</w:t>
            </w:r>
            <w:r>
              <w:rPr>
                <w:rFonts w:ascii="宋体" w:hAnsi="宋体" w:cs="宋体"/>
                <w:bCs/>
                <w:color w:val="auto"/>
                <w:sz w:val="24"/>
                <w:lang w:val="zh-CN"/>
              </w:rPr>
              <w:t>/</w:t>
            </w:r>
            <w:r>
              <w:rPr>
                <w:rFonts w:hint="eastAsia" w:ascii="宋体" w:hAnsi="宋体" w:cs="宋体"/>
                <w:bCs/>
                <w:color w:val="auto"/>
                <w:sz w:val="24"/>
                <w:lang w:val="zh-CN"/>
              </w:rPr>
              <w:t>最终磋商报价）×价格权值（</w:t>
            </w:r>
            <w:r>
              <w:rPr>
                <w:rFonts w:ascii="宋体" w:hAnsi="宋体" w:cs="宋体"/>
                <w:bCs/>
                <w:color w:val="auto"/>
                <w:sz w:val="24"/>
              </w:rPr>
              <w:t>10</w:t>
            </w:r>
            <w:r>
              <w:rPr>
                <w:rFonts w:ascii="宋体" w:hAnsi="宋体" w:cs="宋体"/>
                <w:bCs/>
                <w:color w:val="auto"/>
                <w:sz w:val="24"/>
                <w:lang w:val="zh-CN"/>
              </w:rPr>
              <w:t>%</w:t>
            </w:r>
            <w:r>
              <w:rPr>
                <w:rFonts w:hint="eastAsia" w:ascii="宋体" w:hAnsi="宋体" w:cs="宋体"/>
                <w:bCs/>
                <w:color w:val="auto"/>
                <w:sz w:val="24"/>
                <w:lang w:val="zh-CN"/>
              </w:rPr>
              <w:t>）×</w:t>
            </w:r>
            <w:r>
              <w:rPr>
                <w:rFonts w:ascii="宋体" w:hAnsi="宋体" w:cs="宋体"/>
                <w:bCs/>
                <w:color w:val="auto"/>
                <w:sz w:val="24"/>
                <w:lang w:val="zh-CN"/>
              </w:rPr>
              <w:t>100</w:t>
            </w:r>
            <w:r>
              <w:rPr>
                <w:rFonts w:hint="eastAsia" w:ascii="宋体" w:hAnsi="宋体" w:cs="宋体"/>
                <w:bCs/>
                <w:color w:val="auto"/>
                <w:sz w:val="24"/>
                <w:lang w:val="zh-CN"/>
              </w:rPr>
              <w:t>，四舍五入小数点后保留两位。</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宋体"/>
                <w:bCs/>
                <w:color w:val="auto"/>
                <w:sz w:val="24"/>
                <w:lang w:val="zh-CN"/>
              </w:rPr>
            </w:pPr>
            <w:r>
              <w:rPr>
                <w:rFonts w:hint="eastAsia" w:ascii="宋体" w:hAnsi="宋体" w:cs="宋体"/>
                <w:color w:val="auto"/>
                <w:sz w:val="24"/>
                <w:lang w:val="zh-CN"/>
              </w:rPr>
              <w:t>注：评标委员会在评审时发现投标供应商的报价明显低于成本价的，应当要求投标供应商书面说明并提供相关证明材料。投标供应商不能当场合理说明原因并提供证明材料的，评标委员会应将该投标供应商的投标文件作无效处理，并在评审报告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7" w:hRule="atLeast"/>
          <w:jc w:val="center"/>
        </w:trPr>
        <w:tc>
          <w:tcPr>
            <w:tcW w:w="432"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bCs/>
                <w:color w:val="auto"/>
                <w:sz w:val="24"/>
              </w:rPr>
            </w:pPr>
            <w:r>
              <w:rPr>
                <w:rFonts w:ascii="宋体" w:hAnsi="宋体" w:cs="宋体"/>
                <w:bCs/>
                <w:color w:val="auto"/>
                <w:sz w:val="24"/>
              </w:rPr>
              <w:t>2</w:t>
            </w:r>
          </w:p>
        </w:tc>
        <w:tc>
          <w:tcPr>
            <w:tcW w:w="886"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s="宋体"/>
                <w:bCs/>
                <w:color w:val="auto"/>
                <w:sz w:val="24"/>
              </w:rPr>
              <w:t>方案及质量</w:t>
            </w:r>
          </w:p>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s="宋体"/>
                <w:bCs/>
                <w:color w:val="auto"/>
                <w:sz w:val="24"/>
                <w:lang w:val="zh-CN"/>
              </w:rPr>
              <w:t>（</w:t>
            </w:r>
            <w:r>
              <w:rPr>
                <w:rFonts w:ascii="宋体" w:hAnsi="宋体" w:cs="宋体"/>
                <w:bCs/>
                <w:color w:val="auto"/>
                <w:sz w:val="24"/>
              </w:rPr>
              <w:t>50</w:t>
            </w:r>
            <w:r>
              <w:rPr>
                <w:rFonts w:hint="eastAsia" w:ascii="宋体" w:hAnsi="宋体" w:cs="宋体"/>
                <w:bCs/>
                <w:color w:val="auto"/>
                <w:sz w:val="24"/>
                <w:lang w:val="zh-CN"/>
              </w:rPr>
              <w:t>分）</w:t>
            </w:r>
          </w:p>
        </w:tc>
        <w:tc>
          <w:tcPr>
            <w:tcW w:w="102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s="宋体"/>
                <w:bCs/>
                <w:color w:val="auto"/>
                <w:sz w:val="24"/>
              </w:rPr>
              <w:t>对本项目的理解（</w:t>
            </w:r>
            <w:r>
              <w:rPr>
                <w:rFonts w:ascii="宋体" w:hAnsi="宋体" w:cs="宋体"/>
                <w:bCs/>
                <w:color w:val="auto"/>
                <w:sz w:val="24"/>
              </w:rPr>
              <w:t>15</w:t>
            </w:r>
            <w:r>
              <w:rPr>
                <w:rFonts w:hint="eastAsia" w:ascii="宋体" w:hAnsi="宋体" w:cs="宋体"/>
                <w:bCs/>
                <w:color w:val="auto"/>
                <w:sz w:val="24"/>
              </w:rPr>
              <w:t>分）</w:t>
            </w:r>
          </w:p>
        </w:tc>
        <w:tc>
          <w:tcPr>
            <w:tcW w:w="719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hint="eastAsia" w:ascii="宋体" w:hAnsi="宋体" w:cs="宋体"/>
                <w:bCs/>
                <w:color w:val="auto"/>
                <w:sz w:val="24"/>
              </w:rPr>
              <w:t>综合比较投标供应商的课题研究方案是否紧扣课题内容，方向是否符合阜阳市实际情况，并对发展现状与发展规划的理解进行排名：第一名得</w:t>
            </w:r>
            <w:r>
              <w:rPr>
                <w:rFonts w:ascii="宋体" w:hAnsi="宋体" w:cs="宋体"/>
                <w:bCs/>
                <w:color w:val="auto"/>
                <w:sz w:val="24"/>
              </w:rPr>
              <w:t>15</w:t>
            </w:r>
            <w:r>
              <w:rPr>
                <w:rFonts w:hint="eastAsia" w:ascii="宋体" w:hAnsi="宋体" w:cs="宋体"/>
                <w:bCs/>
                <w:color w:val="auto"/>
                <w:sz w:val="24"/>
              </w:rPr>
              <w:t>分，第二名得</w:t>
            </w:r>
            <w:r>
              <w:rPr>
                <w:rFonts w:ascii="宋体" w:hAnsi="宋体" w:cs="宋体"/>
                <w:bCs/>
                <w:color w:val="auto"/>
                <w:sz w:val="24"/>
              </w:rPr>
              <w:t>10</w:t>
            </w:r>
            <w:r>
              <w:rPr>
                <w:rFonts w:hint="eastAsia" w:ascii="宋体" w:hAnsi="宋体" w:cs="宋体"/>
                <w:bCs/>
                <w:color w:val="auto"/>
                <w:sz w:val="24"/>
              </w:rPr>
              <w:t>分，其余得</w:t>
            </w:r>
            <w:r>
              <w:rPr>
                <w:rFonts w:ascii="宋体" w:hAnsi="宋体" w:cs="宋体"/>
                <w:bCs/>
                <w:color w:val="auto"/>
                <w:sz w:val="24"/>
              </w:rPr>
              <w:t>5</w:t>
            </w:r>
            <w:r>
              <w:rPr>
                <w:rFonts w:hint="eastAsia" w:ascii="宋体" w:hAnsi="宋体" w:cs="宋体"/>
                <w:bCs/>
                <w:color w:val="auto"/>
                <w:sz w:val="24"/>
              </w:rPr>
              <w:t>分，未提供的得</w:t>
            </w:r>
            <w:r>
              <w:rPr>
                <w:rFonts w:ascii="宋体" w:hAnsi="宋体" w:cs="宋体"/>
                <w:bCs/>
                <w:color w:val="auto"/>
                <w:sz w:val="24"/>
              </w:rPr>
              <w:t>0</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color w:val="auto"/>
              </w:rPr>
            </w:pPr>
            <w:r>
              <w:rPr>
                <w:rFonts w:hint="eastAsia" w:ascii="宋体" w:hAnsi="宋体" w:cs="宋体"/>
                <w:color w:val="auto"/>
                <w:sz w:val="24"/>
              </w:rPr>
              <w:t>注：以上排名可并列。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4" w:hRule="atLeast"/>
          <w:jc w:val="center"/>
        </w:trPr>
        <w:tc>
          <w:tcPr>
            <w:tcW w:w="432"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p>
        </w:tc>
        <w:tc>
          <w:tcPr>
            <w:tcW w:w="886"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p>
        </w:tc>
        <w:tc>
          <w:tcPr>
            <w:tcW w:w="102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s="宋体"/>
                <w:bCs/>
                <w:color w:val="auto"/>
                <w:sz w:val="24"/>
              </w:rPr>
              <w:t>总体评价（</w:t>
            </w:r>
            <w:r>
              <w:rPr>
                <w:rFonts w:ascii="宋体" w:hAnsi="宋体" w:cs="宋体"/>
                <w:bCs/>
                <w:color w:val="auto"/>
                <w:sz w:val="24"/>
              </w:rPr>
              <w:t>20</w:t>
            </w:r>
            <w:r>
              <w:rPr>
                <w:rFonts w:hint="eastAsia" w:ascii="宋体" w:hAnsi="宋体" w:cs="宋体"/>
                <w:bCs/>
                <w:color w:val="auto"/>
                <w:sz w:val="24"/>
              </w:rPr>
              <w:t>分）</w:t>
            </w:r>
          </w:p>
        </w:tc>
        <w:tc>
          <w:tcPr>
            <w:tcW w:w="719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综合比较投标供应商针对本次课题研究的重点聚焦，方案发展的全局性、前瞻性、关键性、深层次问题进行排名：由评委酌情打分，第一名得</w:t>
            </w:r>
            <w:r>
              <w:rPr>
                <w:rFonts w:ascii="宋体" w:hAnsi="宋体" w:cs="宋体"/>
                <w:bCs/>
                <w:color w:val="auto"/>
                <w:sz w:val="24"/>
              </w:rPr>
              <w:t>10</w:t>
            </w:r>
            <w:r>
              <w:rPr>
                <w:rFonts w:hint="eastAsia" w:ascii="宋体" w:hAnsi="宋体" w:cs="宋体"/>
                <w:bCs/>
                <w:color w:val="auto"/>
                <w:sz w:val="24"/>
              </w:rPr>
              <w:t>分，第二名得</w:t>
            </w:r>
            <w:r>
              <w:rPr>
                <w:rFonts w:ascii="宋体" w:hAnsi="宋体" w:cs="宋体"/>
                <w:bCs/>
                <w:color w:val="auto"/>
                <w:sz w:val="24"/>
              </w:rPr>
              <w:t>5</w:t>
            </w:r>
            <w:r>
              <w:rPr>
                <w:rFonts w:hint="eastAsia" w:ascii="宋体" w:hAnsi="宋体" w:cs="宋体"/>
                <w:bCs/>
                <w:color w:val="auto"/>
                <w:sz w:val="24"/>
              </w:rPr>
              <w:t>分，其余得</w:t>
            </w:r>
            <w:r>
              <w:rPr>
                <w:rFonts w:ascii="宋体" w:hAnsi="宋体" w:cs="宋体"/>
                <w:bCs/>
                <w:color w:val="auto"/>
                <w:sz w:val="24"/>
              </w:rPr>
              <w:t>2</w:t>
            </w:r>
            <w:r>
              <w:rPr>
                <w:rFonts w:hint="eastAsia" w:ascii="宋体" w:hAnsi="宋体" w:cs="宋体"/>
                <w:bCs/>
                <w:color w:val="auto"/>
                <w:sz w:val="24"/>
              </w:rPr>
              <w:t>分，未提供的得</w:t>
            </w:r>
            <w:r>
              <w:rPr>
                <w:rFonts w:ascii="宋体" w:hAnsi="宋体" w:cs="宋体"/>
                <w:bCs/>
                <w:color w:val="auto"/>
                <w:sz w:val="24"/>
              </w:rPr>
              <w:t>0</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综合比较投标供应商针对本次课题研究方案的总体架构，所提出的</w:t>
            </w:r>
            <w:r>
              <w:rPr>
                <w:rFonts w:hint="eastAsia"/>
                <w:color w:val="auto"/>
                <w:kern w:val="0"/>
                <w:sz w:val="24"/>
              </w:rPr>
              <w:t>研究思路、研究方法</w:t>
            </w:r>
            <w:r>
              <w:rPr>
                <w:rFonts w:hint="eastAsia" w:ascii="宋体" w:hAnsi="宋体" w:cs="宋体"/>
                <w:bCs/>
                <w:color w:val="auto"/>
                <w:sz w:val="24"/>
              </w:rPr>
              <w:t>的科学性、针对性和较强的可操作性。根据优劣情况进行排名：第一名得</w:t>
            </w:r>
            <w:r>
              <w:rPr>
                <w:rFonts w:ascii="宋体" w:hAnsi="宋体" w:cs="宋体"/>
                <w:bCs/>
                <w:color w:val="auto"/>
                <w:sz w:val="24"/>
              </w:rPr>
              <w:t>10</w:t>
            </w:r>
            <w:r>
              <w:rPr>
                <w:rFonts w:hint="eastAsia" w:ascii="宋体" w:hAnsi="宋体" w:cs="宋体"/>
                <w:bCs/>
                <w:color w:val="auto"/>
                <w:sz w:val="24"/>
              </w:rPr>
              <w:t>分，第二名得</w:t>
            </w:r>
            <w:r>
              <w:rPr>
                <w:rFonts w:ascii="宋体" w:hAnsi="宋体" w:cs="宋体"/>
                <w:bCs/>
                <w:color w:val="auto"/>
                <w:sz w:val="24"/>
              </w:rPr>
              <w:t>5</w:t>
            </w:r>
            <w:r>
              <w:rPr>
                <w:rFonts w:hint="eastAsia" w:ascii="宋体" w:hAnsi="宋体" w:cs="宋体"/>
                <w:bCs/>
                <w:color w:val="auto"/>
                <w:sz w:val="24"/>
              </w:rPr>
              <w:t>分，其余得</w:t>
            </w:r>
            <w:r>
              <w:rPr>
                <w:rFonts w:ascii="宋体" w:hAnsi="宋体" w:cs="宋体"/>
                <w:bCs/>
                <w:color w:val="auto"/>
                <w:sz w:val="24"/>
              </w:rPr>
              <w:t>2</w:t>
            </w:r>
            <w:r>
              <w:rPr>
                <w:rFonts w:hint="eastAsia" w:ascii="宋体" w:hAnsi="宋体" w:cs="宋体"/>
                <w:bCs/>
                <w:color w:val="auto"/>
                <w:sz w:val="24"/>
              </w:rPr>
              <w:t>分，未提供的得</w:t>
            </w:r>
            <w:r>
              <w:rPr>
                <w:rFonts w:ascii="宋体" w:hAnsi="宋体" w:cs="宋体"/>
                <w:bCs/>
                <w:color w:val="auto"/>
                <w:sz w:val="24"/>
              </w:rPr>
              <w:t>0</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color w:val="auto"/>
              </w:rPr>
            </w:pPr>
            <w:r>
              <w:rPr>
                <w:rFonts w:hint="eastAsia" w:ascii="宋体" w:hAnsi="宋体" w:cs="宋体"/>
                <w:bCs/>
                <w:color w:val="auto"/>
                <w:sz w:val="24"/>
              </w:rPr>
              <w:t>注：以上排名均可并列。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2" w:hRule="atLeast"/>
          <w:jc w:val="center"/>
        </w:trPr>
        <w:tc>
          <w:tcPr>
            <w:tcW w:w="432"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p>
        </w:tc>
        <w:tc>
          <w:tcPr>
            <w:tcW w:w="886"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p>
        </w:tc>
        <w:tc>
          <w:tcPr>
            <w:tcW w:w="102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s="宋体"/>
                <w:bCs/>
                <w:color w:val="auto"/>
                <w:sz w:val="24"/>
              </w:rPr>
              <w:t>服务承诺（</w:t>
            </w:r>
            <w:r>
              <w:rPr>
                <w:rFonts w:ascii="宋体" w:hAnsi="宋体" w:cs="宋体"/>
                <w:bCs/>
                <w:color w:val="auto"/>
                <w:sz w:val="24"/>
              </w:rPr>
              <w:t>15</w:t>
            </w:r>
            <w:r>
              <w:rPr>
                <w:rFonts w:hint="eastAsia" w:ascii="宋体" w:hAnsi="宋体" w:cs="宋体"/>
                <w:bCs/>
                <w:color w:val="auto"/>
                <w:sz w:val="24"/>
              </w:rPr>
              <w:t>分）</w:t>
            </w:r>
          </w:p>
        </w:tc>
        <w:tc>
          <w:tcPr>
            <w:tcW w:w="7194" w:type="dxa"/>
          </w:tcPr>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hint="eastAsia" w:ascii="宋体" w:hAnsi="宋体" w:cs="宋体"/>
                <w:bCs/>
                <w:color w:val="auto"/>
                <w:sz w:val="24"/>
              </w:rPr>
              <w:t>综合比较投标供应商在服务期内的服务承诺（</w:t>
            </w:r>
            <w:r>
              <w:rPr>
                <w:rFonts w:hint="eastAsia"/>
                <w:color w:val="auto"/>
                <w:kern w:val="0"/>
                <w:sz w:val="24"/>
              </w:rPr>
              <w:t>工作进度安排</w:t>
            </w:r>
            <w:r>
              <w:rPr>
                <w:rFonts w:hint="eastAsia" w:ascii="宋体" w:hAnsi="宋体" w:cs="宋体"/>
                <w:bCs/>
                <w:color w:val="auto"/>
                <w:sz w:val="24"/>
              </w:rPr>
              <w:t>、</w:t>
            </w:r>
            <w:r>
              <w:rPr>
                <w:rFonts w:hint="eastAsia"/>
                <w:color w:val="auto"/>
                <w:kern w:val="0"/>
                <w:sz w:val="24"/>
              </w:rPr>
              <w:t>完成本课题研究的时间保证</w:t>
            </w:r>
            <w:r>
              <w:rPr>
                <w:rFonts w:hint="eastAsia" w:ascii="宋体" w:hAnsi="宋体" w:cs="宋体"/>
                <w:bCs/>
                <w:color w:val="auto"/>
                <w:sz w:val="24"/>
              </w:rPr>
              <w:t>、问题解决措施等）；根据优劣情况进行排名性：第一名得</w:t>
            </w:r>
            <w:r>
              <w:rPr>
                <w:rFonts w:ascii="宋体" w:hAnsi="宋体" w:cs="宋体"/>
                <w:bCs/>
                <w:color w:val="auto"/>
                <w:sz w:val="24"/>
              </w:rPr>
              <w:t>15</w:t>
            </w:r>
            <w:r>
              <w:rPr>
                <w:rFonts w:hint="eastAsia" w:ascii="宋体" w:hAnsi="宋体" w:cs="宋体"/>
                <w:bCs/>
                <w:color w:val="auto"/>
                <w:sz w:val="24"/>
              </w:rPr>
              <w:t>分，第二名得</w:t>
            </w:r>
            <w:r>
              <w:rPr>
                <w:rFonts w:ascii="宋体" w:hAnsi="宋体" w:cs="宋体"/>
                <w:bCs/>
                <w:color w:val="auto"/>
                <w:sz w:val="24"/>
              </w:rPr>
              <w:t>10</w:t>
            </w:r>
            <w:r>
              <w:rPr>
                <w:rFonts w:hint="eastAsia" w:ascii="宋体" w:hAnsi="宋体" w:cs="宋体"/>
                <w:bCs/>
                <w:color w:val="auto"/>
                <w:sz w:val="24"/>
              </w:rPr>
              <w:t>分，其余得</w:t>
            </w:r>
            <w:r>
              <w:rPr>
                <w:rFonts w:ascii="宋体" w:hAnsi="宋体" w:cs="宋体"/>
                <w:bCs/>
                <w:color w:val="auto"/>
                <w:sz w:val="24"/>
              </w:rPr>
              <w:t>5</w:t>
            </w:r>
            <w:r>
              <w:rPr>
                <w:rFonts w:hint="eastAsia" w:ascii="宋体" w:hAnsi="宋体" w:cs="宋体"/>
                <w:bCs/>
                <w:color w:val="auto"/>
                <w:sz w:val="24"/>
              </w:rPr>
              <w:t>分，未提供的得</w:t>
            </w:r>
            <w:r>
              <w:rPr>
                <w:rFonts w:ascii="宋体" w:hAnsi="宋体" w:cs="宋体"/>
                <w:bCs/>
                <w:color w:val="auto"/>
                <w:sz w:val="24"/>
              </w:rPr>
              <w:t>0</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color w:val="auto"/>
              </w:rPr>
            </w:pPr>
            <w:r>
              <w:rPr>
                <w:rFonts w:hint="eastAsia" w:ascii="宋体" w:hAnsi="宋体" w:cs="宋体"/>
                <w:bCs/>
                <w:color w:val="auto"/>
                <w:sz w:val="24"/>
              </w:rPr>
              <w:t>注：以上排名可并列。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2" w:hRule="atLeast"/>
          <w:jc w:val="center"/>
        </w:trPr>
        <w:tc>
          <w:tcPr>
            <w:tcW w:w="432"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bCs/>
                <w:color w:val="auto"/>
                <w:sz w:val="24"/>
              </w:rPr>
            </w:pPr>
            <w:r>
              <w:rPr>
                <w:rFonts w:ascii="宋体" w:hAnsi="宋体" w:cs="宋体"/>
                <w:bCs/>
                <w:color w:val="auto"/>
                <w:sz w:val="24"/>
              </w:rPr>
              <w:t>3</w:t>
            </w:r>
          </w:p>
        </w:tc>
        <w:tc>
          <w:tcPr>
            <w:tcW w:w="886"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r>
              <w:rPr>
                <w:rFonts w:hint="eastAsia" w:ascii="宋体" w:hAnsi="宋体"/>
                <w:color w:val="auto"/>
                <w:kern w:val="0"/>
                <w:sz w:val="24"/>
              </w:rPr>
              <w:t>投标人荣誉及能力</w:t>
            </w:r>
            <w:r>
              <w:rPr>
                <w:rFonts w:hint="eastAsia" w:ascii="宋体" w:hAnsi="宋体"/>
                <w:color w:val="auto"/>
                <w:kern w:val="0"/>
                <w:sz w:val="24"/>
                <w:szCs w:val="22"/>
              </w:rPr>
              <w:t>（</w:t>
            </w:r>
            <w:r>
              <w:rPr>
                <w:rFonts w:ascii="宋体" w:hAnsi="宋体"/>
                <w:color w:val="auto"/>
                <w:kern w:val="0"/>
                <w:sz w:val="24"/>
                <w:szCs w:val="22"/>
              </w:rPr>
              <w:t>40</w:t>
            </w:r>
            <w:r>
              <w:rPr>
                <w:rFonts w:hint="eastAsia" w:ascii="宋体" w:hAnsi="宋体"/>
                <w:color w:val="auto"/>
                <w:kern w:val="0"/>
                <w:sz w:val="24"/>
                <w:szCs w:val="22"/>
              </w:rPr>
              <w:t>分）</w:t>
            </w:r>
          </w:p>
        </w:tc>
        <w:tc>
          <w:tcPr>
            <w:tcW w:w="1028" w:type="dxa"/>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color w:val="auto"/>
                <w:kern w:val="0"/>
                <w:sz w:val="24"/>
                <w:szCs w:val="22"/>
              </w:rPr>
            </w:pPr>
            <w:r>
              <w:rPr>
                <w:rFonts w:hint="eastAsia" w:ascii="宋体" w:hAnsi="宋体"/>
                <w:color w:val="auto"/>
                <w:kern w:val="0"/>
                <w:sz w:val="24"/>
                <w:szCs w:val="22"/>
              </w:rPr>
              <w:t>投标人实力（</w:t>
            </w:r>
            <w:r>
              <w:rPr>
                <w:rFonts w:ascii="宋体" w:hAnsi="宋体"/>
                <w:color w:val="auto"/>
                <w:kern w:val="0"/>
                <w:sz w:val="24"/>
                <w:szCs w:val="22"/>
              </w:rPr>
              <w:t>20</w:t>
            </w:r>
            <w:r>
              <w:rPr>
                <w:rFonts w:hint="eastAsia" w:ascii="宋体" w:hAnsi="宋体"/>
                <w:color w:val="auto"/>
                <w:kern w:val="0"/>
                <w:sz w:val="24"/>
                <w:szCs w:val="22"/>
              </w:rPr>
              <w:t>分）</w:t>
            </w:r>
          </w:p>
        </w:tc>
        <w:tc>
          <w:tcPr>
            <w:tcW w:w="7194" w:type="dxa"/>
          </w:tcPr>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hint="eastAsia" w:ascii="宋体" w:hAnsi="宋体" w:cs="宋体"/>
                <w:bCs/>
                <w:color w:val="auto"/>
                <w:sz w:val="24"/>
              </w:rPr>
              <w:t>投标供应商近五年（自公告发布之日起向前追溯五年）完成过类似的课题研究业绩，每提供一项得</w:t>
            </w:r>
            <w:r>
              <w:rPr>
                <w:rFonts w:ascii="宋体" w:hAnsi="宋体" w:cs="宋体"/>
                <w:bCs/>
                <w:color w:val="auto"/>
                <w:sz w:val="24"/>
              </w:rPr>
              <w:t>5</w:t>
            </w:r>
            <w:r>
              <w:rPr>
                <w:rFonts w:hint="eastAsia" w:ascii="宋体" w:hAnsi="宋体" w:cs="宋体"/>
                <w:bCs/>
                <w:color w:val="auto"/>
                <w:sz w:val="24"/>
              </w:rPr>
              <w:t>分，满分</w:t>
            </w:r>
            <w:r>
              <w:rPr>
                <w:rFonts w:ascii="宋体" w:hAnsi="宋体" w:cs="宋体"/>
                <w:bCs/>
                <w:color w:val="auto"/>
                <w:sz w:val="24"/>
              </w:rPr>
              <w:t>20</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hint="eastAsia" w:ascii="宋体" w:hAnsi="宋体" w:cs="宋体"/>
                <w:bCs/>
                <w:color w:val="auto"/>
                <w:sz w:val="24"/>
              </w:rPr>
              <w:t>注：提供合同复印件，要求能体现项目内容，否则还需提供业主证明。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0" w:hRule="atLeast"/>
          <w:jc w:val="center"/>
        </w:trPr>
        <w:tc>
          <w:tcPr>
            <w:tcW w:w="432"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p>
        </w:tc>
        <w:tc>
          <w:tcPr>
            <w:tcW w:w="886"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cs="宋体"/>
                <w:bCs/>
                <w:color w:val="auto"/>
                <w:sz w:val="24"/>
              </w:rPr>
            </w:pPr>
          </w:p>
        </w:tc>
        <w:tc>
          <w:tcPr>
            <w:tcW w:w="1028" w:type="dxa"/>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color w:val="auto"/>
                <w:kern w:val="0"/>
                <w:sz w:val="24"/>
                <w:szCs w:val="22"/>
              </w:rPr>
            </w:pPr>
            <w:r>
              <w:rPr>
                <w:rFonts w:hint="eastAsia" w:ascii="宋体" w:hAnsi="宋体"/>
                <w:color w:val="auto"/>
                <w:kern w:val="0"/>
                <w:sz w:val="24"/>
                <w:szCs w:val="22"/>
              </w:rPr>
              <w:t>课题组成员（</w:t>
            </w:r>
            <w:r>
              <w:rPr>
                <w:rFonts w:ascii="宋体" w:hAnsi="宋体"/>
                <w:color w:val="auto"/>
                <w:kern w:val="0"/>
                <w:sz w:val="24"/>
                <w:szCs w:val="22"/>
              </w:rPr>
              <w:t>20</w:t>
            </w:r>
            <w:r>
              <w:rPr>
                <w:rFonts w:hint="eastAsia" w:ascii="宋体" w:hAnsi="宋体"/>
                <w:color w:val="auto"/>
                <w:kern w:val="0"/>
                <w:sz w:val="24"/>
                <w:szCs w:val="22"/>
              </w:rPr>
              <w:t>分）</w:t>
            </w:r>
          </w:p>
        </w:tc>
        <w:tc>
          <w:tcPr>
            <w:tcW w:w="7194" w:type="dxa"/>
          </w:tcPr>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投标供应商拟任课题组负责人具有高级（或相当于高级）及以上的专业技术职称的，得</w:t>
            </w:r>
            <w:r>
              <w:rPr>
                <w:rFonts w:ascii="宋体" w:hAnsi="宋体" w:cs="宋体"/>
                <w:bCs/>
                <w:color w:val="auto"/>
                <w:sz w:val="24"/>
              </w:rPr>
              <w:t>5</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拟任课题组负责人主持过市级及以上课题研究工作的，每提供一项得</w:t>
            </w:r>
            <w:r>
              <w:rPr>
                <w:rFonts w:ascii="宋体" w:hAnsi="宋体" w:cs="宋体"/>
                <w:bCs/>
                <w:color w:val="auto"/>
                <w:sz w:val="24"/>
              </w:rPr>
              <w:t>5</w:t>
            </w:r>
            <w:r>
              <w:rPr>
                <w:rFonts w:hint="eastAsia" w:ascii="宋体" w:hAnsi="宋体" w:cs="宋体"/>
                <w:bCs/>
                <w:color w:val="auto"/>
                <w:sz w:val="24"/>
              </w:rPr>
              <w:t>分，满分</w:t>
            </w:r>
            <w:r>
              <w:rPr>
                <w:rFonts w:ascii="宋体" w:hAnsi="宋体" w:cs="宋体"/>
                <w:bCs/>
                <w:color w:val="auto"/>
                <w:sz w:val="24"/>
              </w:rPr>
              <w:t>5</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ascii="宋体" w:hAnsi="宋体" w:cs="宋体"/>
                <w:bCs/>
                <w:color w:val="auto"/>
                <w:sz w:val="24"/>
              </w:rPr>
              <w:t>3.</w:t>
            </w:r>
            <w:r>
              <w:rPr>
                <w:rFonts w:hint="eastAsia" w:ascii="宋体" w:hAnsi="宋体" w:cs="宋体"/>
                <w:bCs/>
                <w:color w:val="auto"/>
                <w:sz w:val="24"/>
              </w:rPr>
              <w:t>课题组成员具有高级（或相当于高级）及以上的专业技术职称的，每提供一位得</w:t>
            </w:r>
            <w:r>
              <w:rPr>
                <w:rFonts w:ascii="宋体" w:hAnsi="宋体" w:cs="宋体"/>
                <w:bCs/>
                <w:color w:val="auto"/>
                <w:sz w:val="24"/>
              </w:rPr>
              <w:t>3</w:t>
            </w:r>
            <w:r>
              <w:rPr>
                <w:rFonts w:hint="eastAsia" w:ascii="宋体" w:hAnsi="宋体" w:cs="宋体"/>
                <w:bCs/>
                <w:color w:val="auto"/>
                <w:sz w:val="24"/>
              </w:rPr>
              <w:t>分，具有中级（或相当于中级）及以上的专业技术职称的，每提供一位得</w:t>
            </w:r>
            <w:r>
              <w:rPr>
                <w:rFonts w:ascii="宋体" w:hAnsi="宋体" w:cs="宋体"/>
                <w:bCs/>
                <w:color w:val="auto"/>
                <w:sz w:val="24"/>
              </w:rPr>
              <w:t>2</w:t>
            </w:r>
            <w:r>
              <w:rPr>
                <w:rFonts w:hint="eastAsia" w:ascii="宋体" w:hAnsi="宋体" w:cs="宋体"/>
                <w:bCs/>
                <w:color w:val="auto"/>
                <w:sz w:val="24"/>
              </w:rPr>
              <w:t>分，满分</w:t>
            </w:r>
            <w:r>
              <w:rPr>
                <w:rFonts w:ascii="宋体" w:hAnsi="宋体" w:cs="宋体"/>
                <w:bCs/>
                <w:color w:val="auto"/>
                <w:sz w:val="24"/>
              </w:rPr>
              <w:t>10</w:t>
            </w:r>
            <w:r>
              <w:rPr>
                <w:rFonts w:hint="eastAsia" w:ascii="宋体" w:hAnsi="宋体" w:cs="宋体"/>
                <w:bCs/>
                <w:color w:val="auto"/>
                <w:sz w:val="24"/>
              </w:rPr>
              <w:t>分。</w:t>
            </w:r>
          </w:p>
          <w:p>
            <w:pPr>
              <w:keepNext w:val="0"/>
              <w:keepLines w:val="0"/>
              <w:pageBreakBefore w:val="0"/>
              <w:widowControl w:val="0"/>
              <w:kinsoku/>
              <w:wordWrap/>
              <w:overflowPunct/>
              <w:topLinePunct w:val="0"/>
              <w:autoSpaceDE w:val="0"/>
              <w:autoSpaceDN w:val="0"/>
              <w:bidi w:val="0"/>
              <w:adjustRightInd w:val="0"/>
              <w:spacing w:line="400" w:lineRule="exact"/>
              <w:ind w:firstLine="240" w:firstLineChars="100"/>
              <w:jc w:val="left"/>
              <w:textAlignment w:val="auto"/>
              <w:rPr>
                <w:rFonts w:ascii="宋体" w:cs="宋体"/>
                <w:bCs/>
                <w:color w:val="auto"/>
                <w:sz w:val="24"/>
              </w:rPr>
            </w:pPr>
            <w:r>
              <w:rPr>
                <w:rFonts w:hint="eastAsia" w:ascii="宋体" w:hAnsi="宋体" w:cs="宋体"/>
                <w:bCs/>
                <w:color w:val="auto"/>
                <w:sz w:val="24"/>
              </w:rPr>
              <w:t>注：投标文件中提供证书、合同复印件，合同复印件要求能体现上述项目内容，否则还需提供业主证明。</w:t>
            </w:r>
          </w:p>
        </w:tc>
      </w:tr>
    </w:tbl>
    <w:p>
      <w:pPr>
        <w:shd w:val="clear" w:color="auto" w:fill="FFFFFF"/>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1.磋商小组依据本章磋商标准规定对磋商响应文件进行评审。</w:t>
      </w:r>
      <w:bookmarkEnd w:id="121"/>
      <w:bookmarkEnd w:id="122"/>
    </w:p>
    <w:p>
      <w:pPr>
        <w:shd w:val="clear" w:color="auto" w:fill="FFFFFF"/>
        <w:snapToGrid w:val="0"/>
        <w:spacing w:line="420" w:lineRule="exact"/>
        <w:rPr>
          <w:rFonts w:hint="eastAsia" w:ascii="宋体" w:hAnsi="宋体" w:eastAsia="宋体" w:cs="宋体"/>
          <w:b/>
          <w:color w:val="auto"/>
          <w:sz w:val="24"/>
          <w:szCs w:val="24"/>
          <w:highlight w:val="none"/>
        </w:rPr>
      </w:pPr>
      <w:bookmarkStart w:id="123" w:name="_Toc1190_WPSOffice_Level1"/>
      <w:bookmarkStart w:id="124" w:name="_Toc18081_WPSOffice_Level1"/>
      <w:r>
        <w:rPr>
          <w:rFonts w:hint="eastAsia" w:ascii="宋体" w:hAnsi="宋体" w:eastAsia="宋体" w:cs="宋体"/>
          <w:b/>
          <w:color w:val="auto"/>
          <w:sz w:val="24"/>
          <w:szCs w:val="24"/>
          <w:highlight w:val="none"/>
        </w:rPr>
        <w:t>2. 磋商原则</w:t>
      </w:r>
      <w:bookmarkEnd w:id="123"/>
      <w:bookmarkEnd w:id="124"/>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遵循公平、公正、科学、择优的原则。</w:t>
      </w:r>
    </w:p>
    <w:p>
      <w:pPr>
        <w:shd w:val="clear" w:color="auto" w:fill="FFFFFF"/>
        <w:snapToGrid w:val="0"/>
        <w:spacing w:line="420" w:lineRule="exact"/>
        <w:rPr>
          <w:rFonts w:hint="eastAsia" w:ascii="宋体" w:hAnsi="宋体" w:eastAsia="宋体" w:cs="宋体"/>
          <w:b/>
          <w:color w:val="auto"/>
          <w:sz w:val="24"/>
          <w:szCs w:val="24"/>
          <w:highlight w:val="none"/>
        </w:rPr>
      </w:pPr>
      <w:bookmarkStart w:id="125" w:name="_Toc9521_WPSOffice_Level1"/>
      <w:bookmarkStart w:id="126" w:name="_Toc9709_WPSOffice_Level1"/>
      <w:r>
        <w:rPr>
          <w:rFonts w:hint="eastAsia" w:ascii="宋体" w:hAnsi="宋体" w:eastAsia="宋体" w:cs="宋体"/>
          <w:b/>
          <w:color w:val="auto"/>
          <w:sz w:val="24"/>
          <w:szCs w:val="24"/>
          <w:highlight w:val="none"/>
        </w:rPr>
        <w:t>3. 磋商小组组成及职责</w:t>
      </w:r>
      <w:bookmarkEnd w:id="125"/>
      <w:bookmarkEnd w:id="126"/>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3.1磋商小组</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磋商小组由采购人依法组建。所有磋商小组成员推举产生磋商小组组长。</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3.2 磋商小组的职责</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小组应当根据磋商办法，对磋商响应文件进行评审和比较，根据采购人的授权直接确定成交供应商。各评委独立评审，提出评审意见，不受任何单位或者个人的干预。各评委对各自评审结果负责，并在磋商报告上签字确认。对磋商结论持有异议的磋商小组成员可以书面方式阐述其不同意见和理由。磋商小组成员拒绝在磋商报告上签字且不陈述其不同意见和理由的，视为同意磋商结论。磋商小组应当对此作出书面说明并记录在案。</w:t>
      </w:r>
    </w:p>
    <w:p>
      <w:pPr>
        <w:shd w:val="clear" w:color="auto" w:fill="FFFFFF"/>
        <w:snapToGrid w:val="0"/>
        <w:spacing w:line="420" w:lineRule="exact"/>
        <w:rPr>
          <w:rFonts w:hint="eastAsia" w:ascii="宋体" w:hAnsi="宋体" w:eastAsia="宋体" w:cs="宋体"/>
          <w:b/>
          <w:color w:val="auto"/>
          <w:sz w:val="24"/>
          <w:szCs w:val="24"/>
          <w:highlight w:val="none"/>
        </w:rPr>
      </w:pPr>
      <w:bookmarkStart w:id="127" w:name="_Toc412647649"/>
      <w:bookmarkStart w:id="128" w:name="_Toc4423_WPSOffice_Level1"/>
      <w:bookmarkStart w:id="129" w:name="_Toc422395180"/>
      <w:bookmarkStart w:id="130" w:name="_Toc416271437"/>
      <w:bookmarkStart w:id="131" w:name="_Toc416271966"/>
      <w:bookmarkStart w:id="132" w:name="_Toc394241257"/>
      <w:bookmarkStart w:id="133" w:name="_Toc402855790"/>
      <w:bookmarkStart w:id="134" w:name="_Toc13105_WPSOffice_Level1"/>
      <w:bookmarkStart w:id="135" w:name="_Toc402426883"/>
      <w:bookmarkStart w:id="136" w:name="_Toc144974563"/>
      <w:bookmarkStart w:id="137" w:name="_Toc179632614"/>
      <w:bookmarkStart w:id="138" w:name="_Toc246996982"/>
      <w:bookmarkStart w:id="139" w:name="_Toc296602484"/>
      <w:bookmarkStart w:id="140" w:name="_Toc247085754"/>
      <w:bookmarkStart w:id="141" w:name="_Toc152042373"/>
      <w:bookmarkStart w:id="142" w:name="_Toc246996239"/>
      <w:bookmarkStart w:id="143" w:name="_Toc152045596"/>
      <w:r>
        <w:rPr>
          <w:rFonts w:hint="eastAsia" w:ascii="宋体" w:hAnsi="宋体" w:eastAsia="宋体" w:cs="宋体"/>
          <w:b/>
          <w:color w:val="auto"/>
          <w:sz w:val="24"/>
          <w:szCs w:val="24"/>
          <w:highlight w:val="none"/>
        </w:rPr>
        <w:t>4. 磋商程序</w:t>
      </w:r>
      <w:bookmarkEnd w:id="127"/>
      <w:bookmarkEnd w:id="128"/>
      <w:bookmarkEnd w:id="129"/>
      <w:bookmarkEnd w:id="130"/>
      <w:bookmarkEnd w:id="131"/>
      <w:bookmarkEnd w:id="132"/>
      <w:bookmarkEnd w:id="133"/>
      <w:bookmarkEnd w:id="134"/>
      <w:bookmarkEnd w:id="13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磋商准备、初步评审（</w:t>
      </w:r>
      <w:r>
        <w:rPr>
          <w:rFonts w:hint="eastAsia" w:ascii="宋体" w:hAnsi="宋体" w:eastAsia="宋体" w:cs="宋体"/>
          <w:color w:val="auto"/>
          <w:kern w:val="0"/>
          <w:sz w:val="24"/>
          <w:highlight w:val="none"/>
        </w:rPr>
        <w:t>初审指标评审</w:t>
      </w:r>
      <w:r>
        <w:rPr>
          <w:rFonts w:hint="eastAsia" w:ascii="宋体" w:hAnsi="宋体" w:eastAsia="宋体" w:cs="宋体"/>
          <w:color w:val="auto"/>
          <w:sz w:val="24"/>
          <w:highlight w:val="none"/>
        </w:rPr>
        <w:t>）、综合评审。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4.1磋商准备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磋商小组熟悉磋商工作情况：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(1)听取采购人或者其委托的采购代理机构对竞争性磋商项目情况的介绍。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阅读、研究竞争性磋商文件和相关磋商资料，获取磋商所需要的重要信息和数据,至少应了解和熟悉以下内容：竞争性磋商的目标、竞争性磋商项目的范围和性质、竞争性磋商文件规定的主要技术要求、标准和商务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(3)熟悉竞争性磋商文件规定的磋商标准和磋商方法及在磋商过程中需要考虑的相关因素。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(4)核对磋商工作用表。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4.2初步评审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符合性评审和资格评审。磋商小组依据上述标准对磋商响应文件进行初步评审。</w:t>
      </w:r>
      <w:r>
        <w:rPr>
          <w:rFonts w:hint="eastAsia" w:ascii="宋体" w:hAnsi="宋体" w:eastAsia="宋体" w:cs="宋体"/>
          <w:b/>
          <w:color w:val="auto"/>
          <w:sz w:val="24"/>
          <w:highlight w:val="none"/>
        </w:rPr>
        <w:t>有一项不符合评审标准的</w:t>
      </w:r>
      <w:r>
        <w:rPr>
          <w:rFonts w:hint="eastAsia" w:ascii="宋体" w:hAnsi="宋体" w:eastAsia="宋体" w:cs="宋体"/>
          <w:color w:val="auto"/>
          <w:sz w:val="24"/>
          <w:highlight w:val="none"/>
        </w:rPr>
        <w:t>，视为未通过，不得进入磋商程序，磋商响应文件作无效标处理。</w:t>
      </w:r>
    </w:p>
    <w:bookmarkEnd w:id="136"/>
    <w:bookmarkEnd w:id="137"/>
    <w:bookmarkEnd w:id="138"/>
    <w:bookmarkEnd w:id="139"/>
    <w:bookmarkEnd w:id="140"/>
    <w:bookmarkEnd w:id="141"/>
    <w:bookmarkEnd w:id="142"/>
    <w:bookmarkEnd w:id="143"/>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4.3磋商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4.3.1由本项目磋商小组分别与各供应商进行磋商。在正式磋商前，对各供应商的资格条件、响应文件的有效性、完整性和响应程度进行审查，审查的内容包括供应商营业执</w:t>
      </w:r>
      <w:r>
        <w:rPr>
          <w:rFonts w:hint="eastAsia" w:ascii="宋体" w:hAnsi="宋体" w:eastAsia="宋体" w:cs="宋体"/>
          <w:color w:val="auto"/>
          <w:sz w:val="24"/>
          <w:szCs w:val="22"/>
          <w:highlight w:val="none"/>
        </w:rPr>
        <w:t>照等磋商文件中要求的材料。</w:t>
      </w:r>
      <w:r>
        <w:rPr>
          <w:rFonts w:hint="eastAsia" w:ascii="宋体" w:hAnsi="宋体" w:eastAsia="宋体" w:cs="宋体"/>
          <w:color w:val="auto"/>
          <w:sz w:val="24"/>
          <w:highlight w:val="none"/>
        </w:rPr>
        <w:t>各供应商只有在完全符合磋商要求的前提下，才能参与正式磋商。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4.3.2在磋商过程中磋商的任何一方不得向他人透露与磋商有关的技术资料、价格或其他信息。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4.3.3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4.3.4所有供应商在磋商时做出的所有书面承诺须由供应商法人授权代表签字。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4.3.5本项目规定报价次数为两轮。磋商结束后，磋商小组要求通过资格性审查的供应商在规定的时间内同时书面提出二轮报价及有关承诺（填写《第二轮报价表》并密封递交）。已提交响应文件的供应商，在提交第二轮报价之前退出磋商的或超出规定时间没有进行第二轮报价的供应商，均视为放弃第二轮报价，以供应商的响应文件报价(第一轮报价)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4.4磋商响应文件的澄清和补正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4.4.1在磋商过程中，磋商小组应以书面形式要求供应商对所提交的磋商响应文件中不明确的内容进行书面澄清或说明，或者对细微偏差进行补正。磋商小组不接受供应商主动提出的澄清、说明或补正。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 澄清、说明和补正不得改变磋商响应文件的实质性内容。供应商的书面澄清、说明和补正属于磋商响应文件的组成部分。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 磋商小组对供应商提交的澄清、说明或补正有疑问的，可以要求供应商进一步澄清、说明或补正，直至满足磋商小组的要求。</w:t>
      </w:r>
    </w:p>
    <w:p>
      <w:pPr>
        <w:spacing w:line="360" w:lineRule="auto"/>
        <w:ind w:firstLine="480" w:firstLineChars="200"/>
        <w:rPr>
          <w:rFonts w:hint="eastAsia" w:ascii="宋体" w:hAnsi="宋体" w:eastAsia="宋体" w:cs="宋体"/>
          <w:color w:val="auto"/>
          <w:sz w:val="24"/>
          <w:szCs w:val="22"/>
          <w:highlight w:val="none"/>
        </w:rPr>
      </w:pPr>
      <w:bookmarkStart w:id="144" w:name="_Toc246996983"/>
      <w:bookmarkStart w:id="145" w:name="_Toc152042374"/>
      <w:bookmarkStart w:id="146" w:name="_Toc152045597"/>
      <w:bookmarkStart w:id="147" w:name="_Toc144974564"/>
      <w:bookmarkStart w:id="148" w:name="_Toc296602485"/>
      <w:bookmarkStart w:id="149" w:name="_Toc179632615"/>
      <w:bookmarkStart w:id="150" w:name="_Toc247085755"/>
      <w:bookmarkStart w:id="151" w:name="_Toc246996240"/>
      <w:r>
        <w:rPr>
          <w:rFonts w:hint="eastAsia" w:ascii="宋体" w:hAnsi="宋体" w:eastAsia="宋体" w:cs="宋体"/>
          <w:color w:val="auto"/>
          <w:sz w:val="24"/>
          <w:highlight w:val="none"/>
        </w:rPr>
        <w:t>4.5磋商结果</w:t>
      </w:r>
      <w:bookmarkEnd w:id="144"/>
      <w:bookmarkEnd w:id="145"/>
      <w:bookmarkEnd w:id="146"/>
      <w:bookmarkEnd w:id="147"/>
      <w:bookmarkEnd w:id="148"/>
      <w:bookmarkEnd w:id="149"/>
      <w:bookmarkEnd w:id="150"/>
      <w:bookmarkEnd w:id="151"/>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4.5.1磋商小组按照评审后综合得分由高到低排列，并标明排列顺序，取第一名为成交供应商。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4.5.2 磋商小组完成磋商后，应当向采购人提交书面磋商报告。</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4.5.3</w:t>
      </w:r>
      <w:r>
        <w:rPr>
          <w:rFonts w:hint="eastAsia" w:ascii="宋体" w:hAnsi="宋体" w:eastAsia="宋体" w:cs="宋体"/>
          <w:b/>
          <w:bCs/>
          <w:color w:val="auto"/>
          <w:sz w:val="24"/>
          <w:highlight w:val="none"/>
        </w:rPr>
        <w:t>排名第一</w:t>
      </w:r>
      <w:r>
        <w:rPr>
          <w:rFonts w:hint="eastAsia" w:ascii="宋体" w:hAnsi="宋体" w:eastAsia="宋体" w:cs="宋体"/>
          <w:color w:val="auto"/>
          <w:sz w:val="24"/>
          <w:highlight w:val="none"/>
        </w:rPr>
        <w:t>的成交供应商放弃成交、因不可抗力提出不能履行合同，或者竞争性磋商文件规定应当提交履约保证金而在规定的期限内未能提交的，采购人可以按照磋</w:t>
      </w:r>
      <w:r>
        <w:rPr>
          <w:rFonts w:hint="eastAsia" w:ascii="宋体" w:hAnsi="宋体" w:eastAsia="宋体" w:cs="宋体"/>
          <w:color w:val="auto"/>
          <w:sz w:val="24"/>
          <w:szCs w:val="22"/>
          <w:highlight w:val="none"/>
        </w:rPr>
        <w:t>商小组推荐的排名顺序依序确定成交供应商,依次类推或重新招标。</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4.5.4采购代理机构将在网站上发布评审结果公告，公告期为1个工作日，期满无异议则自动转为成交公告。</w:t>
      </w:r>
    </w:p>
    <w:p>
      <w:pPr>
        <w:shd w:val="clear" w:color="auto" w:fill="FFFFFF"/>
        <w:snapToGrid w:val="0"/>
        <w:spacing w:line="420" w:lineRule="exact"/>
        <w:rPr>
          <w:rFonts w:hint="eastAsia" w:ascii="宋体" w:hAnsi="宋体" w:eastAsia="宋体" w:cs="宋体"/>
          <w:b/>
          <w:color w:val="auto"/>
          <w:sz w:val="24"/>
          <w:szCs w:val="24"/>
          <w:highlight w:val="none"/>
        </w:rPr>
      </w:pPr>
      <w:bookmarkStart w:id="152" w:name="_Toc23563_WPSOffice_Level1"/>
      <w:bookmarkStart w:id="153" w:name="_Toc11173_WPSOffice_Level1"/>
      <w:r>
        <w:rPr>
          <w:rFonts w:hint="eastAsia" w:ascii="宋体" w:hAnsi="宋体" w:eastAsia="宋体" w:cs="宋体"/>
          <w:b/>
          <w:color w:val="auto"/>
          <w:sz w:val="24"/>
          <w:szCs w:val="24"/>
          <w:highlight w:val="none"/>
        </w:rPr>
        <w:t>5、供应商有以下情形之一的，初步评审后其响应作废标处理：</w:t>
      </w:r>
      <w:bookmarkEnd w:id="152"/>
      <w:bookmarkEnd w:id="153"/>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1）串通响应或弄虚作假或有其他违法行为的。</w:t>
      </w:r>
    </w:p>
    <w:p>
      <w:pPr>
        <w:shd w:val="clear" w:color="auto" w:fill="FFFFFF"/>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串通响应行为是指：</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（a）不同供应商委托同一人响应；</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（b）不同供应商的响应文件载明的项目管理班子成员出现同一人的；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（c）不同供应商的响应文件相互混装的；</w:t>
      </w:r>
    </w:p>
    <w:p>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2）逾期送达的响应文件；</w:t>
      </w:r>
    </w:p>
    <w:p>
      <w:pPr>
        <w:tabs>
          <w:tab w:val="left" w:pos="735"/>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4）响应文件份数、装订、密封和标记不符合竞争性磋商文件要求的；响应文件未胶装的。</w:t>
      </w:r>
    </w:p>
    <w:p>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5）供应商递交两份或多份内容不同的响应文件；或在一份响应文件中对同一招标项目报有两个或多个报价的，且未书面声明以哪个报价为准。</w:t>
      </w:r>
    </w:p>
    <w:p>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6）被阜阳市招投标监督管理部门或行业主管部门取消响应资格并在处罚期内的；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7）不按磋商小组要求澄清、说明或补正的。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响应文件中的报价</w:t>
      </w:r>
      <w:r>
        <w:rPr>
          <w:rFonts w:hint="eastAsia" w:ascii="宋体" w:hAnsi="宋体" w:cs="宋体"/>
          <w:color w:val="auto"/>
          <w:sz w:val="24"/>
          <w:szCs w:val="24"/>
          <w:highlight w:val="none"/>
          <w:lang w:eastAsia="zh-CN"/>
        </w:rPr>
        <w:t>表</w:t>
      </w:r>
      <w:r>
        <w:rPr>
          <w:rFonts w:hint="eastAsia" w:ascii="宋体" w:hAnsi="宋体" w:eastAsia="宋体" w:cs="宋体"/>
          <w:color w:val="auto"/>
          <w:sz w:val="24"/>
          <w:szCs w:val="24"/>
          <w:highlight w:val="none"/>
        </w:rPr>
        <w:t>及其它内容相应位置处没有签字、盖章的。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9）响应文件中响应报价、服务期限或其它实质性要求不能满足竞争性磋商文件要求,或作出的承诺与竞争性磋商文件中提供的响应函样本中相关内容相抵触或有遗漏的。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10）未按规定的格式填写，实质性内容不全或关键字迹模糊、无法辨认的。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11）响应报价高于最高响应</w:t>
      </w:r>
      <w:r>
        <w:rPr>
          <w:rFonts w:hint="eastAsia" w:ascii="宋体" w:hAnsi="宋体" w:cs="宋体"/>
          <w:color w:val="auto"/>
          <w:sz w:val="24"/>
          <w:szCs w:val="24"/>
          <w:highlight w:val="none"/>
          <w:lang w:eastAsia="zh-CN"/>
        </w:rPr>
        <w:t>上</w:t>
      </w:r>
      <w:r>
        <w:rPr>
          <w:rFonts w:hint="eastAsia" w:ascii="宋体" w:hAnsi="宋体" w:eastAsia="宋体" w:cs="宋体"/>
          <w:color w:val="auto"/>
          <w:sz w:val="24"/>
          <w:szCs w:val="24"/>
          <w:highlight w:val="none"/>
        </w:rPr>
        <w:t>限的。</w:t>
      </w:r>
    </w:p>
    <w:p>
      <w:pPr>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12）响应文件中存在采购人不能接受的其它实质性条件。</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）法律、法规规定的其它情形。</w:t>
      </w:r>
    </w:p>
    <w:p>
      <w:pPr>
        <w:spacing w:line="360" w:lineRule="auto"/>
        <w:ind w:firstLine="354" w:firstLineChars="147"/>
        <w:jc w:val="both"/>
        <w:rPr>
          <w:rFonts w:hint="eastAsia" w:ascii="宋体" w:hAnsi="宋体" w:eastAsia="宋体" w:cs="宋体"/>
          <w:color w:val="auto"/>
          <w:sz w:val="24"/>
          <w:highlight w:val="none"/>
        </w:rPr>
      </w:pPr>
      <w:bookmarkStart w:id="154" w:name="_Toc7895_WPSOffice_Level1"/>
      <w:r>
        <w:rPr>
          <w:rFonts w:hint="eastAsia" w:ascii="宋体" w:hAnsi="宋体" w:eastAsia="宋体" w:cs="宋体"/>
          <w:b/>
          <w:color w:val="auto"/>
          <w:sz w:val="24"/>
          <w:highlight w:val="none"/>
        </w:rPr>
        <w:t>6、适用范围 ：</w:t>
      </w:r>
      <w:r>
        <w:rPr>
          <w:rFonts w:hint="eastAsia" w:ascii="宋体" w:hAnsi="宋体" w:eastAsia="宋体" w:cs="宋体"/>
          <w:color w:val="auto"/>
          <w:sz w:val="24"/>
          <w:highlight w:val="none"/>
        </w:rPr>
        <w:t>适用于本项目。</w:t>
      </w:r>
    </w:p>
    <w:p>
      <w:pPr>
        <w:spacing w:line="360" w:lineRule="auto"/>
        <w:ind w:firstLine="529" w:firstLineChars="147"/>
        <w:jc w:val="center"/>
        <w:rPr>
          <w:rFonts w:hint="eastAsia" w:ascii="宋体" w:hAnsi="宋体" w:eastAsia="宋体" w:cs="宋体"/>
          <w:color w:val="auto"/>
          <w:sz w:val="36"/>
          <w:highlight w:val="none"/>
        </w:rPr>
      </w:pPr>
      <w:r>
        <w:rPr>
          <w:rFonts w:hint="eastAsia" w:ascii="宋体" w:hAnsi="宋体" w:eastAsia="宋体" w:cs="宋体"/>
          <w:color w:val="auto"/>
          <w:sz w:val="36"/>
          <w:szCs w:val="36"/>
          <w:highlight w:val="none"/>
        </w:rPr>
        <w:br w:type="page"/>
      </w:r>
      <w:bookmarkStart w:id="155" w:name="_Toc1655_WPSOffice_Level1"/>
      <w:bookmarkStart w:id="156" w:name="_Toc16435_WPSOffice_Level1"/>
      <w:bookmarkStart w:id="157" w:name="_Toc28798_WPSOffice_Level1"/>
      <w:r>
        <w:rPr>
          <w:rFonts w:hint="eastAsia" w:ascii="宋体" w:hAnsi="宋体" w:eastAsia="宋体" w:cs="宋体"/>
          <w:b/>
          <w:color w:val="auto"/>
          <w:sz w:val="36"/>
          <w:szCs w:val="22"/>
          <w:highlight w:val="none"/>
        </w:rPr>
        <w:t>第四章</w:t>
      </w:r>
      <w:bookmarkEnd w:id="111"/>
      <w:bookmarkEnd w:id="112"/>
      <w:r>
        <w:rPr>
          <w:rFonts w:hint="eastAsia" w:ascii="宋体" w:hAnsi="宋体" w:eastAsia="宋体" w:cs="宋体"/>
          <w:b/>
          <w:color w:val="auto"/>
          <w:sz w:val="36"/>
          <w:szCs w:val="22"/>
          <w:highlight w:val="none"/>
        </w:rPr>
        <w:t xml:space="preserve">  </w:t>
      </w:r>
      <w:bookmarkEnd w:id="154"/>
      <w:bookmarkEnd w:id="155"/>
      <w:bookmarkEnd w:id="156"/>
      <w:r>
        <w:rPr>
          <w:rFonts w:hint="eastAsia" w:ascii="宋体" w:hAnsi="宋体" w:cs="宋体"/>
          <w:b/>
          <w:color w:val="auto"/>
          <w:sz w:val="36"/>
          <w:szCs w:val="22"/>
          <w:highlight w:val="none"/>
          <w:lang w:eastAsia="zh-CN"/>
        </w:rPr>
        <w:t>编制要求</w:t>
      </w:r>
      <w:bookmarkEnd w:id="157"/>
    </w:p>
    <w:p>
      <w:pPr>
        <w:jc w:val="center"/>
        <w:rPr>
          <w:rFonts w:hint="eastAsia" w:ascii="宋体" w:hAnsi="宋体" w:eastAsia="宋体" w:cs="宋体"/>
          <w:color w:val="auto"/>
          <w:sz w:val="32"/>
          <w:szCs w:val="32"/>
          <w:highlight w:val="none"/>
          <w:lang w:eastAsia="zh-CN"/>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阜阳</w:t>
      </w:r>
      <w:r>
        <w:rPr>
          <w:rFonts w:hint="eastAsia" w:ascii="宋体" w:hAnsi="宋体" w:eastAsia="宋体" w:cs="宋体"/>
          <w:color w:val="auto"/>
          <w:sz w:val="32"/>
          <w:szCs w:val="32"/>
          <w:highlight w:val="none"/>
        </w:rPr>
        <w:t>市“十四五”规划重点研究课题报告基本提纲</w:t>
      </w:r>
    </w:p>
    <w:p>
      <w:pPr>
        <w:widowControl w:val="0"/>
        <w:spacing w:line="560" w:lineRule="exact"/>
        <w:ind w:firstLine="482" w:firstLineChars="200"/>
        <w:rPr>
          <w:rFonts w:hint="eastAsia" w:ascii="Times New Roman" w:hAnsi="Calibri" w:eastAsia="宋体" w:cs="Times New Roman"/>
          <w:b/>
          <w:bCs/>
          <w:color w:val="auto"/>
          <w:sz w:val="24"/>
          <w:szCs w:val="24"/>
        </w:rPr>
      </w:pPr>
      <w:r>
        <w:rPr>
          <w:rFonts w:hint="eastAsia" w:ascii="Times New Roman" w:hAnsi="Calibri" w:eastAsia="宋体" w:cs="Times New Roman"/>
          <w:b/>
          <w:bCs/>
          <w:color w:val="auto"/>
          <w:sz w:val="24"/>
          <w:szCs w:val="24"/>
        </w:rPr>
        <w:t>一、“十三五”发展成就</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主要目标任务完成情况</w:t>
      </w:r>
    </w:p>
    <w:p>
      <w:pPr>
        <w:widowControl w:val="0"/>
        <w:spacing w:line="560" w:lineRule="exact"/>
        <w:ind w:firstLine="482" w:firstLineChars="200"/>
        <w:rPr>
          <w:rFonts w:hint="eastAsia" w:ascii="Times New Roman" w:hAnsi="Calibri" w:eastAsia="宋体" w:cs="Times New Roman"/>
          <w:b/>
          <w:bCs/>
          <w:color w:val="auto"/>
          <w:sz w:val="24"/>
          <w:szCs w:val="24"/>
        </w:rPr>
      </w:pPr>
      <w:r>
        <w:rPr>
          <w:rFonts w:hint="eastAsia" w:ascii="Times New Roman" w:hAnsi="Calibri" w:eastAsia="宋体" w:cs="Times New Roman"/>
          <w:b/>
          <w:bCs/>
          <w:color w:val="auto"/>
          <w:sz w:val="24"/>
          <w:szCs w:val="24"/>
        </w:rPr>
        <w:t>二、“十四五”发展面临形势</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（一）发展有利条件和战略机遇</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（二）存在的问题、差距、突出矛盾、薄弱环节</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（三）面临的压力和挑战</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（四）对未来总体走势的分析和判断</w:t>
      </w:r>
    </w:p>
    <w:p>
      <w:pPr>
        <w:widowControl w:val="0"/>
        <w:spacing w:line="560" w:lineRule="exact"/>
        <w:ind w:firstLine="482" w:firstLineChars="200"/>
        <w:rPr>
          <w:rFonts w:hAnsi="Calibri" w:cs="Times New Roman"/>
          <w:b/>
          <w:bCs/>
          <w:color w:val="auto"/>
          <w:sz w:val="24"/>
          <w:szCs w:val="24"/>
        </w:rPr>
      </w:pPr>
      <w:r>
        <w:rPr>
          <w:rFonts w:hint="eastAsia" w:hAnsi="Calibri"/>
          <w:b/>
          <w:bCs/>
          <w:color w:val="auto"/>
          <w:sz w:val="24"/>
          <w:szCs w:val="24"/>
        </w:rPr>
        <w:t>三、“十四五”发展的指导思想</w:t>
      </w:r>
    </w:p>
    <w:p>
      <w:pPr>
        <w:widowControl w:val="0"/>
        <w:spacing w:line="560" w:lineRule="exact"/>
        <w:ind w:firstLine="482" w:firstLineChars="200"/>
        <w:rPr>
          <w:rFonts w:hAnsi="Calibri" w:cs="Times New Roman"/>
          <w:b/>
          <w:bCs/>
          <w:color w:val="auto"/>
          <w:sz w:val="24"/>
          <w:szCs w:val="24"/>
        </w:rPr>
      </w:pPr>
      <w:r>
        <w:rPr>
          <w:rFonts w:hint="eastAsia" w:hAnsi="Calibri"/>
          <w:b/>
          <w:bCs/>
          <w:color w:val="auto"/>
          <w:sz w:val="24"/>
          <w:szCs w:val="24"/>
        </w:rPr>
        <w:t>四、“十四五”发展的主要目标</w:t>
      </w:r>
    </w:p>
    <w:p>
      <w:pPr>
        <w:widowControl w:val="0"/>
        <w:spacing w:line="560" w:lineRule="exact"/>
        <w:ind w:firstLine="482" w:firstLineChars="200"/>
        <w:rPr>
          <w:rFonts w:hAnsi="Calibri" w:cs="Times New Roman"/>
          <w:b/>
          <w:bCs/>
          <w:color w:val="auto"/>
          <w:sz w:val="24"/>
          <w:szCs w:val="24"/>
        </w:rPr>
      </w:pPr>
      <w:r>
        <w:rPr>
          <w:rFonts w:hint="eastAsia" w:hAnsi="Calibri"/>
          <w:b/>
          <w:bCs/>
          <w:color w:val="auto"/>
          <w:sz w:val="24"/>
          <w:szCs w:val="24"/>
        </w:rPr>
        <w:t>五、“十四五”发展的主要举措</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（一）发展战略和方向确定</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（二）抓住机遇发挥优势推动高质量发展措施</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（三）针对问题补齐短板推动全面发展措施</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（四）推动发展重点项目</w:t>
      </w:r>
    </w:p>
    <w:p>
      <w:pPr>
        <w:widowControl w:val="0"/>
        <w:spacing w:line="560" w:lineRule="exact"/>
        <w:ind w:firstLine="480" w:firstLineChars="200"/>
        <w:rPr>
          <w:rFonts w:hAnsi="Calibri" w:cs="Times New Roman"/>
          <w:color w:val="auto"/>
          <w:sz w:val="24"/>
          <w:szCs w:val="24"/>
        </w:rPr>
      </w:pPr>
      <w:r>
        <w:rPr>
          <w:rFonts w:hint="eastAsia" w:hAnsi="Calibri"/>
          <w:color w:val="auto"/>
          <w:sz w:val="24"/>
          <w:szCs w:val="24"/>
        </w:rPr>
        <w:t>（五）支持发展重大政策</w:t>
      </w:r>
    </w:p>
    <w:p>
      <w:pPr>
        <w:widowControl w:val="0"/>
        <w:spacing w:line="560" w:lineRule="exact"/>
        <w:ind w:firstLine="480" w:firstLineChars="200"/>
        <w:rPr>
          <w:rFonts w:hAnsi="Calibri" w:cs="Times New Roman"/>
          <w:color w:val="auto"/>
          <w:sz w:val="24"/>
          <w:szCs w:val="24"/>
        </w:rPr>
        <w:sectPr>
          <w:footerReference r:id="rId6" w:type="default"/>
          <w:pgSz w:w="11906" w:h="16838"/>
          <w:pgMar w:top="1365" w:right="1474" w:bottom="1644" w:left="1531" w:header="851" w:footer="1474" w:gutter="0"/>
          <w:cols w:space="425" w:num="1"/>
          <w:docGrid w:type="lines" w:linePitch="312" w:charSpace="0"/>
        </w:sectPr>
      </w:pPr>
      <w:r>
        <w:rPr>
          <w:rFonts w:hint="eastAsia" w:hAnsi="Calibri"/>
          <w:color w:val="auto"/>
          <w:sz w:val="24"/>
          <w:szCs w:val="24"/>
        </w:rPr>
        <w:t>（六）其他方面</w:t>
      </w:r>
    </w:p>
    <w:p>
      <w:pPr>
        <w:spacing w:line="360" w:lineRule="auto"/>
        <w:jc w:val="center"/>
        <w:outlineLvl w:val="0"/>
        <w:rPr>
          <w:rFonts w:hint="eastAsia" w:ascii="宋体" w:hAnsi="宋体" w:eastAsia="宋体" w:cs="宋体"/>
          <w:b/>
          <w:color w:val="auto"/>
          <w:sz w:val="36"/>
          <w:highlight w:val="none"/>
        </w:rPr>
      </w:pPr>
      <w:bookmarkStart w:id="158" w:name="_Toc22846_WPSOffice_Level1"/>
      <w:bookmarkStart w:id="159" w:name="_Toc2369_WPSOffice_Level1"/>
      <w:bookmarkStart w:id="160" w:name="_Toc20744_WPSOffice_Level1"/>
      <w:r>
        <w:rPr>
          <w:rFonts w:hint="eastAsia" w:ascii="宋体" w:hAnsi="宋体" w:eastAsia="宋体" w:cs="宋体"/>
          <w:b/>
          <w:color w:val="auto"/>
          <w:sz w:val="36"/>
          <w:szCs w:val="36"/>
          <w:highlight w:val="none"/>
        </w:rPr>
        <w:t>第五章</w:t>
      </w:r>
      <w:r>
        <w:rPr>
          <w:rFonts w:hint="eastAsia" w:ascii="宋体" w:hAnsi="宋体" w:eastAsia="宋体" w:cs="宋体"/>
          <w:color w:val="auto"/>
          <w:highlight w:val="none"/>
        </w:rPr>
        <w:t xml:space="preserve">  </w:t>
      </w:r>
      <w:r>
        <w:rPr>
          <w:rFonts w:hint="eastAsia" w:ascii="宋体" w:hAnsi="宋体" w:eastAsia="宋体" w:cs="宋体"/>
          <w:b/>
          <w:color w:val="auto"/>
          <w:sz w:val="36"/>
          <w:highlight w:val="none"/>
        </w:rPr>
        <w:t>合同格式及基本条款</w:t>
      </w:r>
      <w:bookmarkEnd w:id="158"/>
      <w:bookmarkEnd w:id="159"/>
      <w:bookmarkEnd w:id="160"/>
    </w:p>
    <w:p>
      <w:pPr>
        <w:jc w:val="center"/>
        <w:rPr>
          <w:rFonts w:hint="eastAsia" w:ascii="宋体" w:hAnsi="宋体" w:eastAsia="宋体" w:cs="宋体"/>
          <w:color w:val="auto"/>
          <w:sz w:val="24"/>
          <w:szCs w:val="24"/>
          <w:highlight w:val="none"/>
        </w:rPr>
      </w:pPr>
      <w:bookmarkStart w:id="161" w:name="_Hlt75236193"/>
      <w:bookmarkEnd w:id="161"/>
      <w:bookmarkStart w:id="162" w:name="_Toc16936_WPSOffice_Level2"/>
      <w:bookmarkStart w:id="163" w:name="_Toc20421_WPSOffice_Level2"/>
      <w:r>
        <w:rPr>
          <w:rFonts w:hint="eastAsia" w:ascii="宋体" w:hAnsi="宋体" w:eastAsia="宋体" w:cs="宋体"/>
          <w:color w:val="auto"/>
          <w:sz w:val="24"/>
          <w:szCs w:val="24"/>
          <w:highlight w:val="none"/>
        </w:rPr>
        <w:t>政府采购服务类采购合同</w:t>
      </w:r>
      <w:bookmarkEnd w:id="162"/>
      <w:bookmarkEnd w:id="163"/>
      <w:r>
        <w:rPr>
          <w:rFonts w:hint="eastAsia" w:ascii="宋体" w:hAnsi="宋体" w:eastAsia="宋体" w:cs="宋体"/>
          <w:color w:val="auto"/>
          <w:sz w:val="24"/>
          <w:szCs w:val="24"/>
          <w:highlight w:val="none"/>
        </w:rPr>
        <w:t>格式（参考）</w:t>
      </w:r>
    </w:p>
    <w:p>
      <w:pPr>
        <w:jc w:val="center"/>
        <w:rPr>
          <w:rFonts w:hint="eastAsia" w:ascii="宋体" w:hAnsi="宋体" w:eastAsia="宋体" w:cs="宋体"/>
          <w:color w:val="auto"/>
          <w:sz w:val="24"/>
          <w:highlight w:val="none"/>
        </w:rPr>
      </w:pPr>
    </w:p>
    <w:p>
      <w:pPr>
        <w:spacing w:line="400" w:lineRule="exact"/>
        <w:ind w:left="960" w:hanging="960" w:hangingChars="4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采购人（甲方）：</w:t>
      </w:r>
      <w:r>
        <w:rPr>
          <w:rFonts w:hint="eastAsia" w:ascii="宋体" w:hAnsi="宋体" w:eastAsia="宋体" w:cs="宋体"/>
          <w:color w:val="auto"/>
          <w:sz w:val="24"/>
          <w:highlight w:val="none"/>
          <w:u w:val="single"/>
        </w:rPr>
        <w:t xml:space="preserve">                                                           </w:t>
      </w:r>
    </w:p>
    <w:p>
      <w:pPr>
        <w:spacing w:line="400" w:lineRule="exact"/>
        <w:ind w:left="960" w:hanging="960" w:hangingChars="4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供货人（乙方）：</w:t>
      </w:r>
      <w:r>
        <w:rPr>
          <w:rFonts w:hint="eastAsia" w:ascii="宋体" w:hAnsi="宋体" w:eastAsia="宋体" w:cs="宋体"/>
          <w:color w:val="auto"/>
          <w:sz w:val="24"/>
          <w:highlight w:val="none"/>
          <w:u w:val="single"/>
        </w:rPr>
        <w:t xml:space="preserve">                                                            </w:t>
      </w: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签订地点： </w:t>
      </w:r>
      <w:r>
        <w:rPr>
          <w:rFonts w:hint="eastAsia" w:ascii="宋体" w:hAnsi="宋体" w:eastAsia="宋体" w:cs="宋体"/>
          <w:color w:val="auto"/>
          <w:sz w:val="24"/>
          <w:highlight w:val="none"/>
          <w:u w:val="single"/>
        </w:rPr>
        <w:t xml:space="preserve">                                                                 </w:t>
      </w:r>
    </w:p>
    <w:p>
      <w:pPr>
        <w:spacing w:line="400" w:lineRule="exac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 xml:space="preserve">                 </w:t>
      </w: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rPr>
        <w:t xml:space="preserve">项目编号： </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highlight w:val="none"/>
          <w:u w:val="single"/>
        </w:rPr>
        <w:t xml:space="preserve">                                                             </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本项目经批准采用</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宋体" w:hAnsi="宋体" w:eastAsia="宋体" w:cs="宋体"/>
          <w:color w:val="auto"/>
          <w:sz w:val="24"/>
          <w:highlight w:val="none"/>
        </w:rPr>
      </w:pPr>
      <w:bookmarkStart w:id="164" w:name="_Toc27989_WPSOffice_Level2"/>
      <w:bookmarkStart w:id="165" w:name="_Toc7822_WPSOffice_Level2"/>
      <w:r>
        <w:rPr>
          <w:rFonts w:hint="eastAsia" w:ascii="宋体" w:hAnsi="宋体" w:eastAsia="宋体" w:cs="宋体"/>
          <w:color w:val="auto"/>
          <w:sz w:val="24"/>
          <w:highlight w:val="none"/>
        </w:rPr>
        <w:t>第一条 服务内容</w:t>
      </w:r>
      <w:bookmarkEnd w:id="164"/>
      <w:bookmarkEnd w:id="165"/>
    </w:p>
    <w:p>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t>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line="360" w:lineRule="exact"/>
        <w:rPr>
          <w:rFonts w:hint="eastAsia" w:ascii="宋体" w:hAnsi="宋体" w:eastAsia="宋体" w:cs="宋体"/>
          <w:color w:val="auto"/>
          <w:sz w:val="24"/>
          <w:highlight w:val="none"/>
        </w:rPr>
      </w:pPr>
      <w:bookmarkStart w:id="166" w:name="_Toc21984_WPSOffice_Level2"/>
      <w:bookmarkStart w:id="167" w:name="_Toc17274_WPSOffice_Level2"/>
      <w:r>
        <w:rPr>
          <w:rFonts w:hint="eastAsia" w:ascii="宋体" w:hAnsi="宋体" w:eastAsia="宋体" w:cs="宋体"/>
          <w:color w:val="auto"/>
          <w:sz w:val="24"/>
          <w:highlight w:val="none"/>
        </w:rPr>
        <w:t>第二条服务质量要求）；按下列第</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项执行：</w:t>
      </w:r>
      <w:bookmarkEnd w:id="166"/>
      <w:bookmarkEnd w:id="167"/>
    </w:p>
    <w:p>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（1）按国家标准执行；（2）按部颁标准执行；（3）若无以上标准，则应不低于同行业质量标准；（4）有特殊要求的，按甲乙双方在合同中商定的技术条件、样品或补充的技术要求执行；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乙方提供的服务标准应与竞争性磋商文件规定的技术标准相一致。</w:t>
      </w:r>
    </w:p>
    <w:p>
      <w:pPr>
        <w:spacing w:line="360" w:lineRule="exact"/>
        <w:rPr>
          <w:rFonts w:hint="eastAsia" w:ascii="宋体" w:hAnsi="宋体" w:eastAsia="宋体" w:cs="宋体"/>
          <w:color w:val="auto"/>
          <w:sz w:val="24"/>
          <w:highlight w:val="none"/>
        </w:rPr>
      </w:pPr>
      <w:bookmarkStart w:id="168" w:name="_Toc28602_WPSOffice_Level2"/>
      <w:bookmarkStart w:id="169" w:name="_Toc5070_WPSOffice_Level2"/>
      <w:r>
        <w:rPr>
          <w:rFonts w:hint="eastAsia" w:ascii="宋体" w:hAnsi="宋体" w:eastAsia="宋体" w:cs="宋体"/>
          <w:color w:val="auto"/>
          <w:sz w:val="24"/>
          <w:highlight w:val="none"/>
        </w:rPr>
        <w:t>第三条服务地点地点和服务期限</w:t>
      </w:r>
      <w:bookmarkEnd w:id="168"/>
      <w:bookmarkEnd w:id="169"/>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p>
      <w:pPr>
        <w:spacing w:line="360" w:lineRule="exact"/>
        <w:rPr>
          <w:rFonts w:hint="eastAsia" w:ascii="宋体" w:hAnsi="宋体" w:eastAsia="宋体" w:cs="宋体"/>
          <w:color w:val="auto"/>
          <w:sz w:val="24"/>
          <w:highlight w:val="none"/>
        </w:rPr>
      </w:pPr>
      <w:bookmarkStart w:id="170" w:name="_Toc8747_WPSOffice_Level2"/>
      <w:bookmarkStart w:id="171" w:name="_Toc23860_WPSOffice_Level2"/>
      <w:r>
        <w:rPr>
          <w:rFonts w:hint="eastAsia" w:ascii="宋体" w:hAnsi="宋体" w:eastAsia="宋体" w:cs="宋体"/>
          <w:color w:val="auto"/>
          <w:sz w:val="24"/>
          <w:highlight w:val="none"/>
        </w:rPr>
        <w:t>第四条合同总价款</w:t>
      </w:r>
      <w:bookmarkEnd w:id="170"/>
      <w:bookmarkEnd w:id="171"/>
    </w:p>
    <w:p>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合同总价款（大小写）：</w:t>
      </w:r>
      <w:r>
        <w:rPr>
          <w:rFonts w:hint="eastAsia" w:ascii="宋体" w:hAnsi="宋体" w:eastAsia="宋体" w:cs="宋体"/>
          <w:color w:val="auto"/>
          <w:sz w:val="24"/>
          <w:highlight w:val="none"/>
          <w:u w:val="single"/>
        </w:rPr>
        <w:t xml:space="preserve">                     </w:t>
      </w:r>
    </w:p>
    <w:p>
      <w:pPr>
        <w:spacing w:line="360" w:lineRule="exact"/>
        <w:rPr>
          <w:rFonts w:hint="eastAsia" w:ascii="宋体" w:hAnsi="宋体" w:eastAsia="宋体" w:cs="宋体"/>
          <w:color w:val="auto"/>
          <w:sz w:val="24"/>
          <w:highlight w:val="none"/>
        </w:rPr>
      </w:pPr>
      <w:bookmarkStart w:id="172" w:name="_Toc10958_WPSOffice_Level2"/>
      <w:bookmarkStart w:id="173" w:name="_Toc23442_WPSOffice_Level2"/>
      <w:r>
        <w:rPr>
          <w:rFonts w:hint="eastAsia" w:ascii="宋体" w:hAnsi="宋体" w:eastAsia="宋体" w:cs="宋体"/>
          <w:color w:val="auto"/>
          <w:sz w:val="24"/>
          <w:highlight w:val="none"/>
        </w:rPr>
        <w:t>第五条付款方式：本合同以人民币付款</w:t>
      </w:r>
      <w:bookmarkEnd w:id="172"/>
      <w:bookmarkEnd w:id="173"/>
    </w:p>
    <w:p>
      <w:pPr>
        <w:spacing w:line="360" w:lineRule="exact"/>
        <w:rPr>
          <w:rFonts w:hint="default" w:ascii="宋体" w:hAnsi="宋体" w:eastAsia="宋体" w:cs="宋体"/>
          <w:color w:val="auto"/>
          <w:sz w:val="24"/>
          <w:highlight w:val="none"/>
          <w:lang w:val="en-US"/>
        </w:rPr>
      </w:pPr>
      <w:r>
        <w:rPr>
          <w:rFonts w:hint="eastAsia" w:ascii="宋体" w:hAnsi="宋体" w:eastAsia="宋体" w:cs="宋体"/>
          <w:b/>
          <w:bCs/>
          <w:color w:val="auto"/>
          <w:sz w:val="24"/>
          <w:szCs w:val="24"/>
          <w:highlight w:val="none"/>
          <w:lang w:bidi="ar"/>
        </w:rPr>
        <w:t>合同款支付方式：</w:t>
      </w:r>
      <w:r>
        <w:rPr>
          <w:rFonts w:hint="eastAsia" w:ascii="宋体" w:hAnsi="宋体" w:cs="宋体"/>
          <w:color w:val="auto"/>
          <w:sz w:val="24"/>
          <w:szCs w:val="22"/>
          <w:highlight w:val="none"/>
          <w:u w:val="single"/>
          <w:lang w:val="en-US" w:eastAsia="zh-CN"/>
        </w:rPr>
        <w:t xml:space="preserve">                                        </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1、变更：任一方不得擅自变更合同，变更需双方协商一致。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2、解除：任一方在合同履行期限届满后一个月内未履行，或者未全部履行合同的，另一方有权解除合同，一切损失由违约方承担。</w:t>
      </w:r>
    </w:p>
    <w:p>
      <w:pPr>
        <w:spacing w:line="360" w:lineRule="exact"/>
        <w:rPr>
          <w:rFonts w:hint="eastAsia" w:ascii="宋体" w:hAnsi="宋体" w:eastAsia="宋体" w:cs="宋体"/>
          <w:color w:val="auto"/>
          <w:sz w:val="24"/>
          <w:highlight w:val="none"/>
        </w:rPr>
      </w:pPr>
      <w:bookmarkStart w:id="174" w:name="_Toc1492_WPSOffice_Level2"/>
      <w:bookmarkStart w:id="175" w:name="_Toc16240_WPSOffice_Level2"/>
      <w:r>
        <w:rPr>
          <w:rFonts w:hint="eastAsia" w:ascii="宋体" w:hAnsi="宋体" w:eastAsia="宋体" w:cs="宋体"/>
          <w:color w:val="auto"/>
          <w:sz w:val="24"/>
          <w:highlight w:val="none"/>
        </w:rPr>
        <w:t>第七条合同生效</w:t>
      </w:r>
      <w:bookmarkEnd w:id="174"/>
      <w:bookmarkEnd w:id="175"/>
    </w:p>
    <w:p>
      <w:pPr>
        <w:spacing w:line="400" w:lineRule="exact"/>
        <w:ind w:firstLine="480" w:firstLineChars="200"/>
        <w:rPr>
          <w:rFonts w:hint="eastAsia" w:ascii="宋体" w:hAnsi="宋体" w:eastAsia="宋体" w:cs="宋体"/>
          <w:color w:val="auto"/>
          <w:sz w:val="24"/>
          <w:szCs w:val="24"/>
        </w:rPr>
      </w:pPr>
      <w:bookmarkStart w:id="176" w:name="_Toc5905_WPSOffice_Level2"/>
      <w:bookmarkStart w:id="177" w:name="_Toc21852_WPSOffice_Level2"/>
      <w:r>
        <w:rPr>
          <w:rFonts w:hint="eastAsia" w:ascii="宋体" w:hAnsi="宋体" w:eastAsia="宋体" w:cs="宋体"/>
          <w:color w:val="auto"/>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第八条合同有效期</w:t>
      </w:r>
      <w:bookmarkEnd w:id="176"/>
      <w:bookmarkEnd w:id="177"/>
    </w:p>
    <w:p>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本合同自年月日至年月日有效</w:t>
      </w:r>
    </w:p>
    <w:p>
      <w:pPr>
        <w:spacing w:line="360" w:lineRule="exact"/>
        <w:rPr>
          <w:rFonts w:hint="eastAsia" w:ascii="宋体" w:hAnsi="宋体" w:eastAsia="宋体" w:cs="宋体"/>
          <w:color w:val="auto"/>
          <w:sz w:val="24"/>
          <w:highlight w:val="none"/>
        </w:rPr>
      </w:pPr>
      <w:bookmarkStart w:id="178" w:name="_Toc14851_WPSOffice_Level2"/>
      <w:bookmarkStart w:id="179" w:name="_Toc12266_WPSOffice_Level2"/>
      <w:r>
        <w:rPr>
          <w:rFonts w:hint="eastAsia" w:ascii="宋体" w:hAnsi="宋体" w:eastAsia="宋体" w:cs="宋体"/>
          <w:color w:val="auto"/>
          <w:sz w:val="24"/>
          <w:highlight w:val="none"/>
        </w:rPr>
        <w:t>第九条其他</w:t>
      </w:r>
      <w:bookmarkEnd w:id="178"/>
      <w:bookmarkEnd w:id="179"/>
    </w:p>
    <w:p>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本合同如发生纠纷，当事人双方应当及时协商解决，协商不成时，任何一方均可请采购管理机关调解，调解不成，向合同交货地有管辖权的人民法院起诉。</w:t>
      </w:r>
    </w:p>
    <w:p>
      <w:pPr>
        <w:spacing w:line="360" w:lineRule="exact"/>
        <w:rPr>
          <w:rFonts w:hint="eastAsia" w:ascii="宋体" w:hAnsi="宋体" w:eastAsia="宋体" w:cs="宋体"/>
          <w:color w:val="auto"/>
          <w:sz w:val="24"/>
          <w:highlight w:val="none"/>
        </w:rPr>
      </w:pPr>
      <w:bookmarkStart w:id="180" w:name="_Toc31900_WPSOffice_Level2"/>
      <w:bookmarkStart w:id="181" w:name="_Toc6396_WPSOffice_Level2"/>
      <w:r>
        <w:rPr>
          <w:rFonts w:hint="eastAsia" w:ascii="宋体" w:hAnsi="宋体" w:eastAsia="宋体" w:cs="宋体"/>
          <w:color w:val="auto"/>
          <w:sz w:val="24"/>
          <w:highlight w:val="none"/>
        </w:rPr>
        <w:t>第十条合同附件及其效力</w:t>
      </w:r>
      <w:bookmarkEnd w:id="180"/>
      <w:bookmarkEnd w:id="181"/>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采购人（甲方）：                          供货人（乙方）：  </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（公章）                                （公章）</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                             法定代表人：  </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委托代理人：                             委托代理人：</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电话：                                    电话：</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年   月   日                             年   月   日</w:t>
      </w:r>
    </w:p>
    <w:p>
      <w:pPr>
        <w:spacing w:line="3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w:t>
      </w:r>
    </w:p>
    <w:p>
      <w:pPr>
        <w:pStyle w:val="2"/>
        <w:rPr>
          <w:rFonts w:hint="eastAsia" w:ascii="宋体" w:hAnsi="宋体" w:eastAsia="宋体" w:cs="宋体"/>
          <w:color w:val="auto"/>
          <w:highlight w:val="none"/>
        </w:rPr>
      </w:pPr>
    </w:p>
    <w:p>
      <w:pPr>
        <w:spacing w:line="360" w:lineRule="exact"/>
        <w:rPr>
          <w:rFonts w:hint="eastAsia" w:ascii="宋体" w:hAnsi="宋体" w:eastAsia="宋体" w:cs="宋体"/>
          <w:color w:val="auto"/>
          <w:sz w:val="28"/>
          <w:szCs w:val="28"/>
          <w:highlight w:val="none"/>
        </w:rPr>
      </w:pPr>
    </w:p>
    <w:p>
      <w:pPr>
        <w:spacing w:line="360" w:lineRule="exact"/>
        <w:rPr>
          <w:rFonts w:hint="eastAsia" w:ascii="宋体" w:hAnsi="宋体" w:eastAsia="宋体" w:cs="宋体"/>
          <w:color w:val="auto"/>
          <w:sz w:val="28"/>
          <w:szCs w:val="28"/>
          <w:highlight w:val="none"/>
        </w:rPr>
      </w:pPr>
    </w:p>
    <w:p>
      <w:pPr>
        <w:pStyle w:val="5"/>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2"/>
          <w:szCs w:val="32"/>
          <w:highlight w:val="none"/>
        </w:rPr>
        <w:br w:type="page"/>
      </w:r>
      <w:bookmarkStart w:id="182" w:name="_Toc3602_WPSOffice_Level1"/>
      <w:bookmarkStart w:id="183" w:name="_Toc17678_WPSOffice_Level1"/>
      <w:bookmarkStart w:id="184" w:name="_Toc2820"/>
      <w:bookmarkStart w:id="185" w:name="_Toc23352_WPSOffice_Level1"/>
      <w:r>
        <w:rPr>
          <w:rFonts w:hint="eastAsia" w:ascii="宋体" w:hAnsi="宋体" w:eastAsia="宋体" w:cs="宋体"/>
          <w:color w:val="auto"/>
          <w:sz w:val="36"/>
          <w:szCs w:val="36"/>
          <w:highlight w:val="none"/>
        </w:rPr>
        <w:t>第六章  响应文件格式</w:t>
      </w:r>
      <w:bookmarkEnd w:id="182"/>
      <w:bookmarkEnd w:id="183"/>
      <w:bookmarkEnd w:id="184"/>
      <w:bookmarkEnd w:id="185"/>
    </w:p>
    <w:p>
      <w:pPr>
        <w:jc w:val="right"/>
        <w:rPr>
          <w:rFonts w:hint="eastAsia" w:ascii="宋体" w:hAnsi="宋体" w:eastAsia="宋体" w:cs="宋体"/>
          <w:b/>
          <w:color w:val="auto"/>
          <w:sz w:val="36"/>
          <w:szCs w:val="36"/>
          <w:highlight w:val="none"/>
        </w:rPr>
      </w:pPr>
      <w:bookmarkStart w:id="186" w:name="_Toc25952_WPSOffice_Level1"/>
      <w:bookmarkStart w:id="187" w:name="_Toc16193_WPSOffice_Level1"/>
      <w:bookmarkStart w:id="188" w:name="_Toc10893_WPSOffice_Level1"/>
      <w:r>
        <w:rPr>
          <w:rFonts w:hint="eastAsia" w:ascii="宋体" w:hAnsi="宋体" w:eastAsia="宋体" w:cs="宋体"/>
          <w:b/>
          <w:color w:val="auto"/>
          <w:sz w:val="36"/>
          <w:szCs w:val="36"/>
          <w:highlight w:val="none"/>
        </w:rPr>
        <w:t>正本/副本</w:t>
      </w:r>
      <w:bookmarkEnd w:id="186"/>
      <w:bookmarkEnd w:id="187"/>
      <w:bookmarkEnd w:id="188"/>
    </w:p>
    <w:p>
      <w:pPr>
        <w:jc w:val="right"/>
        <w:rPr>
          <w:rFonts w:hint="eastAsia" w:ascii="宋体" w:hAnsi="宋体" w:eastAsia="宋体" w:cs="宋体"/>
          <w:b/>
          <w:color w:val="auto"/>
          <w:sz w:val="36"/>
          <w:szCs w:val="36"/>
          <w:highlight w:val="none"/>
        </w:rPr>
      </w:pPr>
    </w:p>
    <w:p>
      <w:pPr>
        <w:spacing w:line="360" w:lineRule="auto"/>
        <w:jc w:val="center"/>
        <w:rPr>
          <w:rFonts w:hint="eastAsia" w:ascii="宋体" w:hAnsi="宋体" w:cs="宋体"/>
          <w:b/>
          <w:color w:val="auto"/>
          <w:sz w:val="36"/>
          <w:szCs w:val="36"/>
          <w:highlight w:val="none"/>
          <w:lang w:eastAsia="zh-CN"/>
        </w:rPr>
      </w:pPr>
      <w:bookmarkStart w:id="189" w:name="_Toc24310_WPSOffice_Level1"/>
      <w:r>
        <w:rPr>
          <w:rFonts w:hint="eastAsia" w:ascii="宋体" w:hAnsi="宋体" w:cs="宋体"/>
          <w:b/>
          <w:color w:val="auto"/>
          <w:sz w:val="36"/>
          <w:szCs w:val="36"/>
          <w:highlight w:val="none"/>
          <w:lang w:eastAsia="zh-CN"/>
        </w:rPr>
        <w:t>阜阳市发展和改革委员会“十四五”规划前期课题</w:t>
      </w:r>
      <w:bookmarkEnd w:id="189"/>
    </w:p>
    <w:p>
      <w:pPr>
        <w:spacing w:line="360" w:lineRule="auto"/>
        <w:jc w:val="center"/>
        <w:rPr>
          <w:rFonts w:hint="eastAsia" w:ascii="宋体" w:hAnsi="宋体" w:eastAsia="宋体" w:cs="宋体"/>
          <w:b/>
          <w:color w:val="auto"/>
          <w:sz w:val="36"/>
          <w:szCs w:val="36"/>
          <w:highlight w:val="none"/>
          <w:lang w:eastAsia="zh-CN"/>
        </w:rPr>
      </w:pPr>
      <w:bookmarkStart w:id="190" w:name="_Toc13300_WPSOffice_Level1"/>
      <w:r>
        <w:rPr>
          <w:rFonts w:hint="eastAsia" w:ascii="宋体" w:hAnsi="宋体" w:cs="宋体"/>
          <w:b/>
          <w:color w:val="auto"/>
          <w:sz w:val="36"/>
          <w:szCs w:val="36"/>
          <w:highlight w:val="none"/>
          <w:lang w:eastAsia="zh-CN"/>
        </w:rPr>
        <w:t>研究服务单位采购项目</w:t>
      </w:r>
      <w:bookmarkEnd w:id="190"/>
      <w:r>
        <w:rPr>
          <w:rFonts w:hint="eastAsia" w:ascii="宋体" w:hAnsi="宋体" w:cs="宋体"/>
          <w:b/>
          <w:color w:val="auto"/>
          <w:sz w:val="36"/>
          <w:szCs w:val="36"/>
          <w:highlight w:val="none"/>
          <w:lang w:eastAsia="zh-CN"/>
        </w:rPr>
        <w:t>第</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lang w:val="en-US" w:eastAsia="zh-CN"/>
        </w:rPr>
        <w:t>标包</w:t>
      </w: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72"/>
          <w:szCs w:val="72"/>
          <w:highlight w:val="none"/>
        </w:rPr>
      </w:pPr>
      <w:bookmarkStart w:id="191" w:name="_Toc3384_WPSOffice_Level1"/>
      <w:bookmarkStart w:id="192" w:name="_Toc21247_WPSOffice_Level1"/>
      <w:bookmarkStart w:id="193" w:name="_Toc4606_WPSOffice_Level1"/>
      <w:r>
        <w:rPr>
          <w:rFonts w:hint="eastAsia" w:ascii="宋体" w:hAnsi="宋体" w:eastAsia="宋体" w:cs="宋体"/>
          <w:b/>
          <w:color w:val="auto"/>
          <w:sz w:val="72"/>
          <w:szCs w:val="72"/>
          <w:highlight w:val="none"/>
        </w:rPr>
        <w:t>响 应 文 件</w:t>
      </w:r>
      <w:bookmarkEnd w:id="191"/>
      <w:bookmarkEnd w:id="192"/>
      <w:bookmarkEnd w:id="193"/>
    </w:p>
    <w:p>
      <w:pPr>
        <w:spacing w:line="480" w:lineRule="auto"/>
        <w:jc w:val="center"/>
        <w:rPr>
          <w:rFonts w:hint="eastAsia" w:ascii="宋体" w:hAnsi="宋体" w:eastAsia="宋体" w:cs="宋体"/>
          <w:b/>
          <w:color w:val="auto"/>
          <w:sz w:val="72"/>
          <w:szCs w:val="72"/>
          <w:highlight w:val="none"/>
        </w:rPr>
      </w:pPr>
      <w:bookmarkStart w:id="194" w:name="_Toc27595_WPSOffice_Level1"/>
      <w:bookmarkStart w:id="195" w:name="_Toc19735_WPSOffice_Level1"/>
      <w:bookmarkStart w:id="196" w:name="_Toc28496_WPSOffice_Level1"/>
      <w:bookmarkStart w:id="197" w:name="_Toc1474_WPSOffice_Level1"/>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30"/>
          <w:szCs w:val="30"/>
          <w:highlight w:val="none"/>
        </w:rPr>
        <w:t xml:space="preserve">  </w:t>
      </w:r>
      <w:r>
        <w:rPr>
          <w:rFonts w:hint="eastAsia" w:ascii="宋体" w:hAnsi="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 xml:space="preserve"> </w:t>
      </w:r>
      <w:r>
        <w:rPr>
          <w:rFonts w:hint="eastAsia" w:ascii="宋体" w:hAnsi="宋体" w:eastAsia="宋体" w:cs="宋体"/>
          <w:b/>
          <w:color w:val="auto"/>
          <w:sz w:val="28"/>
          <w:szCs w:val="28"/>
          <w:highlight w:val="none"/>
        </w:rPr>
        <w:t>）</w:t>
      </w:r>
      <w:bookmarkEnd w:id="194"/>
      <w:bookmarkEnd w:id="195"/>
      <w:bookmarkEnd w:id="196"/>
      <w:bookmarkEnd w:id="197"/>
    </w:p>
    <w:p>
      <w:pPr>
        <w:pStyle w:val="10"/>
        <w:adjustRightInd w:val="0"/>
        <w:snapToGrid w:val="0"/>
        <w:spacing w:before="48" w:beforeLines="20" w:after="48" w:afterLines="20" w:line="540" w:lineRule="exact"/>
        <w:jc w:val="center"/>
        <w:rPr>
          <w:rFonts w:hint="eastAsia" w:ascii="宋体" w:hAnsi="宋体" w:eastAsia="宋体" w:cs="宋体"/>
          <w:color w:val="auto"/>
          <w:highlight w:val="none"/>
        </w:rPr>
      </w:pPr>
    </w:p>
    <w:p>
      <w:pPr>
        <w:pStyle w:val="10"/>
        <w:adjustRightInd w:val="0"/>
        <w:snapToGrid w:val="0"/>
        <w:spacing w:before="48" w:beforeLines="20" w:after="48" w:afterLines="20" w:line="540" w:lineRule="exact"/>
        <w:jc w:val="center"/>
        <w:rPr>
          <w:rFonts w:hint="eastAsia" w:ascii="宋体" w:hAnsi="宋体" w:eastAsia="宋体" w:cs="宋体"/>
          <w:color w:val="auto"/>
          <w:highlight w:val="none"/>
        </w:rPr>
      </w:pPr>
    </w:p>
    <w:p>
      <w:pPr>
        <w:pStyle w:val="10"/>
        <w:adjustRightInd w:val="0"/>
        <w:snapToGrid w:val="0"/>
        <w:spacing w:before="48" w:beforeLines="20" w:after="48" w:afterLines="20" w:line="540" w:lineRule="exact"/>
        <w:rPr>
          <w:rFonts w:hint="eastAsia" w:ascii="宋体" w:hAnsi="宋体" w:eastAsia="宋体" w:cs="宋体"/>
          <w:color w:val="auto"/>
          <w:highlight w:val="none"/>
        </w:rPr>
      </w:pPr>
    </w:p>
    <w:p>
      <w:pPr>
        <w:pStyle w:val="10"/>
        <w:adjustRightInd w:val="0"/>
        <w:snapToGrid w:val="0"/>
        <w:spacing w:before="48" w:beforeLines="20" w:after="48" w:afterLines="20" w:line="540" w:lineRule="exact"/>
        <w:jc w:val="center"/>
        <w:rPr>
          <w:rFonts w:hint="eastAsia" w:ascii="宋体" w:hAnsi="宋体" w:eastAsia="宋体" w:cs="宋体"/>
          <w:color w:val="auto"/>
          <w:highlight w:val="none"/>
        </w:rPr>
      </w:pPr>
    </w:p>
    <w:p>
      <w:pPr>
        <w:pStyle w:val="10"/>
        <w:adjustRightInd w:val="0"/>
        <w:snapToGrid w:val="0"/>
        <w:spacing w:before="48" w:beforeLines="20" w:after="48" w:afterLines="20" w:line="540" w:lineRule="exact"/>
        <w:jc w:val="center"/>
        <w:rPr>
          <w:rFonts w:hint="eastAsia" w:ascii="宋体" w:hAnsi="宋体" w:eastAsia="宋体" w:cs="宋体"/>
          <w:color w:val="auto"/>
          <w:highlight w:val="none"/>
        </w:rPr>
      </w:pPr>
    </w:p>
    <w:p>
      <w:pPr>
        <w:pStyle w:val="10"/>
        <w:adjustRightInd w:val="0"/>
        <w:snapToGrid w:val="0"/>
        <w:spacing w:before="48" w:beforeLines="20" w:after="48" w:afterLines="20" w:line="540" w:lineRule="exact"/>
        <w:jc w:val="center"/>
        <w:rPr>
          <w:rFonts w:hint="eastAsia" w:ascii="宋体" w:hAnsi="宋体" w:eastAsia="宋体" w:cs="宋体"/>
          <w:color w:val="auto"/>
          <w:highlight w:val="none"/>
        </w:rPr>
      </w:pPr>
    </w:p>
    <w:p>
      <w:pPr>
        <w:pStyle w:val="11"/>
        <w:adjustRightInd w:val="0"/>
        <w:snapToGrid w:val="0"/>
        <w:spacing w:before="48" w:beforeLines="20" w:after="48" w:afterLines="20" w:line="540" w:lineRule="exact"/>
        <w:ind w:left="197" w:leftChars="94" w:firstLine="562" w:firstLineChars="2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u w:val="single"/>
        </w:rPr>
        <w:t xml:space="preserve">                                              </w:t>
      </w:r>
    </w:p>
    <w:p>
      <w:pPr>
        <w:pStyle w:val="11"/>
        <w:adjustRightInd w:val="0"/>
        <w:snapToGrid w:val="0"/>
        <w:spacing w:before="48" w:beforeLines="20" w:after="48" w:afterLines="20" w:line="540" w:lineRule="exact"/>
        <w:ind w:left="197" w:leftChars="94" w:firstLine="562" w:firstLineChars="2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供应商名称：</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（盖章）</w:t>
      </w:r>
    </w:p>
    <w:p>
      <w:pPr>
        <w:pStyle w:val="11"/>
        <w:adjustRightInd w:val="0"/>
        <w:snapToGrid w:val="0"/>
        <w:spacing w:before="48" w:beforeLines="20" w:after="48" w:afterLines="20" w:line="540" w:lineRule="exact"/>
        <w:ind w:left="197" w:leftChars="94" w:firstLine="562" w:firstLineChars="2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法定代表人（负责人）或其委托代理人：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（签字或盖章）</w:t>
      </w:r>
    </w:p>
    <w:p>
      <w:pPr>
        <w:adjustRightInd w:val="0"/>
        <w:snapToGrid w:val="0"/>
        <w:spacing w:before="48" w:beforeLines="20" w:after="48" w:afterLines="20" w:line="540" w:lineRule="exact"/>
        <w:rPr>
          <w:rFonts w:hint="eastAsia" w:ascii="宋体" w:hAnsi="宋体" w:eastAsia="宋体" w:cs="宋体"/>
          <w:b/>
          <w:color w:val="auto"/>
          <w:sz w:val="28"/>
          <w:szCs w:val="28"/>
          <w:highlight w:val="none"/>
        </w:rPr>
      </w:pPr>
    </w:p>
    <w:p>
      <w:pPr>
        <w:adjustRightInd w:val="0"/>
        <w:snapToGrid w:val="0"/>
        <w:spacing w:before="48" w:beforeLines="20" w:after="48" w:afterLines="20" w:line="540" w:lineRule="exact"/>
        <w:jc w:val="center"/>
        <w:rPr>
          <w:rFonts w:hint="eastAsia" w:ascii="宋体" w:hAnsi="宋体" w:eastAsia="宋体" w:cs="宋体"/>
          <w:b/>
          <w:color w:val="auto"/>
          <w:sz w:val="28"/>
          <w:szCs w:val="28"/>
          <w:highlight w:val="none"/>
        </w:rPr>
      </w:pPr>
      <w:bookmarkStart w:id="198" w:name="_Toc8607_WPSOffice_Level1"/>
      <w:bookmarkStart w:id="199" w:name="_Toc12922_WPSOffice_Level1"/>
      <w:bookmarkStart w:id="200" w:name="_Toc861_WPSOffice_Level1"/>
      <w:bookmarkStart w:id="201" w:name="_Toc20990_WPSOffice_Level1"/>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bookmarkEnd w:id="198"/>
      <w:bookmarkEnd w:id="199"/>
      <w:bookmarkEnd w:id="200"/>
      <w:bookmarkEnd w:id="201"/>
    </w:p>
    <w:p>
      <w:pPr>
        <w:spacing w:before="480" w:beforeLines="200"/>
        <w:jc w:val="center"/>
        <w:rPr>
          <w:rFonts w:hint="eastAsia" w:ascii="宋体" w:hAnsi="宋体" w:eastAsia="宋体" w:cs="宋体"/>
          <w:b/>
          <w:bCs/>
          <w:color w:val="auto"/>
          <w:sz w:val="32"/>
          <w:highlight w:val="none"/>
        </w:rPr>
      </w:pPr>
    </w:p>
    <w:p>
      <w:pPr>
        <w:adjustRightInd w:val="0"/>
        <w:snapToGrid w:val="0"/>
        <w:spacing w:before="48" w:beforeLines="20" w:after="48" w:afterLines="20" w:line="540" w:lineRule="exact"/>
        <w:jc w:val="center"/>
        <w:rPr>
          <w:rFonts w:hint="eastAsia" w:ascii="宋体" w:hAnsi="宋体" w:eastAsia="宋体" w:cs="宋体"/>
          <w:b/>
          <w:color w:val="auto"/>
          <w:sz w:val="30"/>
          <w:szCs w:val="30"/>
          <w:highlight w:val="none"/>
        </w:rPr>
      </w:pPr>
      <w:bookmarkStart w:id="202" w:name="_Toc50276167"/>
      <w:bookmarkStart w:id="203" w:name="_Toc41723940"/>
      <w:bookmarkStart w:id="204" w:name="_Toc98580295"/>
      <w:bookmarkStart w:id="205" w:name="_Toc42394520"/>
      <w:bookmarkStart w:id="206" w:name="_Toc98579071"/>
      <w:bookmarkStart w:id="207" w:name="_Toc42394676"/>
      <w:bookmarkStart w:id="208" w:name="_Toc42394519"/>
      <w:bookmarkStart w:id="209" w:name="_Toc42313175"/>
      <w:bookmarkStart w:id="210" w:name="_Toc101843134"/>
      <w:bookmarkStart w:id="211" w:name="_Toc42394675"/>
      <w:bookmarkStart w:id="212" w:name="_Toc41884709"/>
      <w:bookmarkStart w:id="213" w:name="_Toc175644396"/>
      <w:bookmarkStart w:id="214" w:name="_Toc42313176"/>
      <w:bookmarkStart w:id="215" w:name="_Toc38947810"/>
      <w:bookmarkStart w:id="216" w:name="_Toc98579013"/>
      <w:bookmarkStart w:id="217" w:name="_Toc101951272"/>
      <w:bookmarkStart w:id="218" w:name="_Toc175106977"/>
      <w:bookmarkStart w:id="219" w:name="_Toc41884710"/>
      <w:bookmarkStart w:id="220" w:name="_Toc41723939"/>
      <w:bookmarkStart w:id="221" w:name="_Toc40762378"/>
      <w:bookmarkStart w:id="222" w:name="_Toc38947809"/>
      <w:bookmarkStart w:id="223" w:name="_Toc101775134"/>
      <w:bookmarkStart w:id="224" w:name="_Toc98579612"/>
      <w:bookmarkStart w:id="225" w:name="_Toc50276168"/>
      <w:bookmarkStart w:id="226" w:name="_Toc40762377"/>
      <w:bookmarkStart w:id="227" w:name="_Toc101771381"/>
      <w:r>
        <w:rPr>
          <w:rFonts w:hint="eastAsia" w:ascii="宋体" w:hAnsi="宋体" w:eastAsia="宋体" w:cs="宋体"/>
          <w:color w:val="auto"/>
          <w:sz w:val="24"/>
          <w:szCs w:val="24"/>
          <w:highlight w:val="none"/>
        </w:rPr>
        <w:br w:type="page"/>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Start w:id="228" w:name="_Toc26025_WPSOffice_Level1"/>
      <w:bookmarkStart w:id="229" w:name="_Toc20154_WPSOffice_Level1"/>
      <w:bookmarkStart w:id="230" w:name="_Toc17185_WPSOffice_Level1"/>
      <w:bookmarkStart w:id="231" w:name="EB435b31d7348145f6ba3789d579ec8cae"/>
      <w:r>
        <w:rPr>
          <w:rFonts w:hint="eastAsia" w:ascii="宋体" w:hAnsi="宋体" w:eastAsia="宋体" w:cs="宋体"/>
          <w:b/>
          <w:color w:val="auto"/>
          <w:sz w:val="30"/>
          <w:szCs w:val="30"/>
          <w:highlight w:val="none"/>
        </w:rPr>
        <w:t>1.响应函</w:t>
      </w:r>
      <w:bookmarkEnd w:id="228"/>
      <w:bookmarkEnd w:id="229"/>
      <w:bookmarkEnd w:id="230"/>
    </w:p>
    <w:p>
      <w:pPr>
        <w:pStyle w:val="30"/>
        <w:widowControl/>
        <w:spacing w:line="336" w:lineRule="auto"/>
        <w:ind w:right="84" w:rightChars="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（采购人）      </w:t>
      </w:r>
      <w:r>
        <w:rPr>
          <w:rFonts w:hint="eastAsia" w:ascii="宋体" w:hAnsi="宋体" w:eastAsia="宋体" w:cs="宋体"/>
          <w:color w:val="auto"/>
          <w:kern w:val="0"/>
          <w:sz w:val="24"/>
          <w:szCs w:val="24"/>
          <w:highlight w:val="none"/>
        </w:rPr>
        <w:t>：</w:t>
      </w:r>
    </w:p>
    <w:p>
      <w:pPr>
        <w:pStyle w:val="30"/>
        <w:widowControl/>
        <w:tabs>
          <w:tab w:val="left" w:pos="9450"/>
        </w:tabs>
        <w:spacing w:line="336" w:lineRule="auto"/>
        <w:ind w:right="84" w:rightChars="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我方收到贵方关于“</w:t>
      </w:r>
      <w:r>
        <w:rPr>
          <w:rFonts w:hint="eastAsia" w:ascii="宋体" w:hAnsi="宋体" w:cs="宋体"/>
          <w:color w:val="auto"/>
          <w:kern w:val="0"/>
          <w:sz w:val="24"/>
          <w:szCs w:val="24"/>
          <w:highlight w:val="none"/>
          <w:lang w:eastAsia="zh-CN"/>
        </w:rPr>
        <w:t xml:space="preserve">阜阳市发展和改革委员会“十四五”规划前期课题研究服务单位采购项目 </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）的竞争性磋商文件，完全理解竞争性磋商文件的所有内容。决定响应本项目，据此我方承诺如下：</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一、我方的响应文件在响应截止日后90日历天内保持有效。</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方在参与响应前已仔细研究了竞争性磋商文件和所有相关资料，我方完全明白并认为此竞争性磋商文件没有倾向性，也没有存在排斥潜在供应商的内容，我方同意竞争性磋商文件的相关条款，放弃对竞争性磋商文件提出误解和质疑的一切权利。</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三、我方声明响应文件及所提供的一切资料均真实无误及有效。由于我方提供资料不实而造成的责任和后果由我方承担。我方同意按照贵方提出的要求，提供与响应有关的任何其它数据或信息。</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四、我方理解贵方不一定接受最低报价的响应。</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五、我方同意如在本项目磋商后、响应有效期之内撤回响应，贵方将不退还履约保证金（如有）。</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六、我方如果成交，保证履行响应文件中承诺的全部责任和义务，切实履行采购合同中的全部条款并按照《竞争性磋商文件》的要求向招标代理公司足额交纳采购代理服务费。</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0"/>
          <w:highlight w:val="none"/>
          <w:lang w:val="af-ZA"/>
        </w:rPr>
      </w:pPr>
      <w:r>
        <w:rPr>
          <w:rFonts w:hint="eastAsia" w:ascii="宋体" w:hAnsi="宋体" w:eastAsia="宋体" w:cs="宋体"/>
          <w:color w:val="auto"/>
          <w:kern w:val="0"/>
          <w:sz w:val="24"/>
          <w:szCs w:val="24"/>
          <w:highlight w:val="none"/>
        </w:rPr>
        <w:t>七、我方保证，</w:t>
      </w:r>
      <w:r>
        <w:rPr>
          <w:rFonts w:hint="eastAsia" w:ascii="宋体" w:hAnsi="宋体" w:eastAsia="宋体" w:cs="宋体"/>
          <w:color w:val="auto"/>
          <w:kern w:val="0"/>
          <w:sz w:val="24"/>
          <w:szCs w:val="20"/>
          <w:highlight w:val="none"/>
          <w:lang w:val="af-ZA"/>
        </w:rPr>
        <w:t>采购人在中华人民共和国境内使用</w:t>
      </w:r>
      <w:r>
        <w:rPr>
          <w:rFonts w:hint="eastAsia" w:ascii="宋体" w:hAnsi="宋体" w:eastAsia="宋体" w:cs="宋体"/>
          <w:color w:val="auto"/>
          <w:kern w:val="0"/>
          <w:sz w:val="24"/>
          <w:szCs w:val="24"/>
          <w:highlight w:val="none"/>
        </w:rPr>
        <w:t>我方</w:t>
      </w:r>
      <w:r>
        <w:rPr>
          <w:rFonts w:hint="eastAsia" w:ascii="宋体" w:hAnsi="宋体" w:eastAsia="宋体" w:cs="宋体"/>
          <w:color w:val="auto"/>
          <w:kern w:val="0"/>
          <w:sz w:val="24"/>
          <w:szCs w:val="20"/>
          <w:highlight w:val="none"/>
          <w:lang w:val="af-ZA"/>
        </w:rPr>
        <w:t>响应货物、资料、技术、服务或其任何一部分时，享有不受限制的无偿使用权，如有第三方向采购人提出侵犯其专利权、商标权或其它知识产权的主张，该责任由我方承担。我方的响应报价已包含所有应向所有权人支付的专利权、商标权或其它知识产权的一切相关费用。</w:t>
      </w:r>
    </w:p>
    <w:p>
      <w:pPr>
        <w:tabs>
          <w:tab w:val="left" w:pos="794"/>
          <w:tab w:val="left" w:pos="1260"/>
        </w:tabs>
        <w:spacing w:line="460" w:lineRule="exact"/>
        <w:ind w:left="34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af-ZA"/>
        </w:rPr>
        <w:t>八、</w:t>
      </w:r>
      <w:r>
        <w:rPr>
          <w:rFonts w:hint="eastAsia" w:ascii="宋体" w:hAnsi="宋体" w:eastAsia="宋体" w:cs="宋体"/>
          <w:color w:val="auto"/>
          <w:sz w:val="24"/>
          <w:szCs w:val="24"/>
          <w:highlight w:val="none"/>
        </w:rPr>
        <w:t>与本响应有关的一切往来通讯请寄：</w:t>
      </w:r>
    </w:p>
    <w:p>
      <w:pPr>
        <w:spacing w:line="460" w:lineRule="exact"/>
        <w:ind w:firstLine="895" w:firstLineChars="3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460" w:lineRule="exact"/>
        <w:ind w:firstLine="895" w:firstLineChars="37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pStyle w:val="30"/>
        <w:widowControl/>
        <w:autoSpaceDE w:val="0"/>
        <w:autoSpaceDN w:val="0"/>
        <w:adjustRightInd w:val="0"/>
        <w:snapToGrid w:val="0"/>
        <w:spacing w:line="336" w:lineRule="auto"/>
        <w:ind w:firstLine="480" w:firstLineChars="200"/>
        <w:jc w:val="left"/>
        <w:outlineLvl w:val="2"/>
        <w:rPr>
          <w:rFonts w:hint="eastAsia" w:ascii="宋体" w:hAnsi="宋体" w:eastAsia="宋体" w:cs="宋体"/>
          <w:color w:val="auto"/>
          <w:kern w:val="0"/>
          <w:sz w:val="24"/>
          <w:szCs w:val="24"/>
          <w:highlight w:val="none"/>
        </w:rPr>
      </w:pPr>
    </w:p>
    <w:p>
      <w:pPr>
        <w:spacing w:line="360" w:lineRule="auto"/>
        <w:ind w:firstLine="4975" w:firstLineChars="20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法定代表人（负责人）或授权代表（签字或盖章）：</w:t>
      </w:r>
    </w:p>
    <w:p>
      <w:pPr>
        <w:spacing w:line="360" w:lineRule="auto"/>
        <w:ind w:firstLine="4975" w:firstLineChars="2073"/>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pPr>
        <w:pStyle w:val="30"/>
        <w:widowControl/>
        <w:spacing w:line="360" w:lineRule="auto"/>
        <w:ind w:right="84" w:rightChars="40" w:firstLine="4080" w:firstLineChars="1700"/>
        <w:jc w:val="left"/>
        <w:rPr>
          <w:rFonts w:hint="eastAsia" w:ascii="宋体" w:hAnsi="宋体" w:eastAsia="宋体" w:cs="宋体"/>
          <w:color w:val="auto"/>
          <w:kern w:val="0"/>
          <w:sz w:val="24"/>
          <w:szCs w:val="24"/>
          <w:highlight w:val="none"/>
        </w:rPr>
      </w:pPr>
    </w:p>
    <w:p>
      <w:pPr>
        <w:pStyle w:val="30"/>
        <w:widowControl/>
        <w:spacing w:line="360" w:lineRule="auto"/>
        <w:ind w:right="84" w:rightChars="40"/>
        <w:jc w:val="left"/>
        <w:rPr>
          <w:rFonts w:hint="eastAsia" w:ascii="宋体" w:hAnsi="宋体" w:eastAsia="宋体" w:cs="宋体"/>
          <w:bCs/>
          <w:color w:val="auto"/>
          <w:kern w:val="0"/>
          <w:sz w:val="24"/>
          <w:szCs w:val="24"/>
          <w:highlight w:val="none"/>
        </w:rPr>
      </w:pPr>
      <w:bookmarkStart w:id="232" w:name="_Toc37581429"/>
      <w:r>
        <w:rPr>
          <w:rFonts w:hint="eastAsia" w:ascii="宋体" w:hAnsi="宋体" w:eastAsia="宋体" w:cs="宋体"/>
          <w:bCs/>
          <w:color w:val="auto"/>
          <w:kern w:val="0"/>
          <w:sz w:val="24"/>
          <w:szCs w:val="24"/>
          <w:highlight w:val="none"/>
        </w:rPr>
        <w:t>说明：本格式文件内容不得擅自删改。</w:t>
      </w:r>
      <w:bookmarkEnd w:id="232"/>
    </w:p>
    <w:p>
      <w:pPr>
        <w:adjustRightInd w:val="0"/>
        <w:snapToGrid w:val="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bookmarkStart w:id="233" w:name="_Toc15134_WPSOffice_Level1"/>
      <w:bookmarkStart w:id="234" w:name="_Toc30615_WPSOffice_Level1"/>
      <w:bookmarkStart w:id="235" w:name="_Toc18658_WPSOffice_Level1"/>
      <w:r>
        <w:rPr>
          <w:rFonts w:hint="eastAsia" w:ascii="宋体" w:hAnsi="宋体" w:eastAsia="宋体" w:cs="宋体"/>
          <w:b/>
          <w:color w:val="auto"/>
          <w:sz w:val="30"/>
          <w:szCs w:val="30"/>
          <w:highlight w:val="none"/>
        </w:rPr>
        <w:t>2.供应商承诺书</w:t>
      </w:r>
      <w:bookmarkEnd w:id="233"/>
      <w:bookmarkEnd w:id="234"/>
      <w:bookmarkEnd w:id="235"/>
    </w:p>
    <w:p>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本单位已详细阅读贵单位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标包</w:t>
      </w:r>
      <w:r>
        <w:rPr>
          <w:rFonts w:hint="eastAsia" w:ascii="宋体" w:hAnsi="宋体" w:eastAsia="宋体" w:cs="宋体"/>
          <w:color w:val="auto"/>
          <w:sz w:val="24"/>
          <w:szCs w:val="24"/>
          <w:highlight w:val="none"/>
        </w:rPr>
        <w:t>竞争性磋商文件，现就参加本项目响应有关事项郑重承诺如下：</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本次响应提供的所有资料都是真实有效、准确完整的，并按时接受资格审查，如发现提供虚假资料或与事实不符且无低于成本的恶意报价行为，同意取消响应和成交候选人资格。</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2．本次响应绝无串标、围标情形，且无行贿、受贿等违法、犯罪问题，若经查证属实，同意取消成交资格。</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3．本次招标若出现投诉，本项目拟派负责人将积极配合调查，否则承担相应法律责任。</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本次响应严格遵守招标人及招标代理机构各项交易管理制度和交易现场纪律，服从现场工作人员管理，自觉维护招标响应市场秩序。我方派出人员若出现胡搅蛮缠、辱骂、恐吓、污告招标人及招标代理机构工作人员，或不听招标人及招标代理机构工作人员劝阻影响有形建筑市场正常工作秩序的行为,愿承担相关法律责任。</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5．本次招标如我单位为成交人，除不可抗力外，决不因任何其它原因放弃成交人资格，否则承担相应法律责任。</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我单位成交后，严格按照竞争性磋商文件和响应文件的约定进行签订合同，否则承担相应的责任。</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我单位已全面认真审阅了该项目全部竞争性磋商文件及其相关附件，认为该竞争性磋商文件中没有存在歧义、重大缺陷及违反国家有关规定的条款，对本次招标活动文件内容无任何异议，完全接受竞争性磋商文件的全部内容，自愿参加本项目响应活动。磋商后对竞争性磋商文件内容提出任何异议，监督管理部门不予受理，否则将承担相应法律责任，且三年不参予阜阳市招标响应活动。</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8.我单位成交后，严格按照竞争性磋商文件、响应文件及采购人的要求完成本项目建设内容及后期相关服务工作，否则将视为放弃成交资格。</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出现上述情形之一的，我方愿意接受处罚并承担所有经济损失和法律责任，同意一定期限内不参与阜阳市</w:t>
      </w:r>
      <w:r>
        <w:rPr>
          <w:rFonts w:hint="eastAsia" w:ascii="宋体" w:hAnsi="宋体" w:cs="宋体"/>
          <w:color w:val="auto"/>
          <w:sz w:val="24"/>
          <w:szCs w:val="24"/>
          <w:highlight w:val="none"/>
          <w:lang w:eastAsia="zh-CN"/>
        </w:rPr>
        <w:t>招投标</w:t>
      </w:r>
      <w:r>
        <w:rPr>
          <w:rFonts w:hint="eastAsia" w:ascii="宋体" w:hAnsi="宋体" w:eastAsia="宋体" w:cs="宋体"/>
          <w:color w:val="auto"/>
          <w:sz w:val="24"/>
          <w:szCs w:val="24"/>
          <w:highlight w:val="none"/>
        </w:rPr>
        <w:t>响应活动。</w:t>
      </w:r>
    </w:p>
    <w:p>
      <w:pPr>
        <w:pStyle w:val="31"/>
        <w:spacing w:line="312" w:lineRule="auto"/>
        <w:ind w:right="55" w:firstLine="42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供应商：</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（盖单位章）</w:t>
      </w:r>
    </w:p>
    <w:p>
      <w:pPr>
        <w:pStyle w:val="31"/>
        <w:spacing w:line="312" w:lineRule="auto"/>
        <w:ind w:right="420" w:firstLine="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法定代表人（负责人）或授权委托人：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（签字或盖章）</w:t>
      </w:r>
    </w:p>
    <w:p>
      <w:pPr>
        <w:spacing w:line="312"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 系  人 ：</w:t>
      </w:r>
      <w:r>
        <w:rPr>
          <w:rFonts w:hint="eastAsia" w:ascii="宋体" w:hAnsi="宋体" w:eastAsia="宋体" w:cs="宋体"/>
          <w:color w:val="auto"/>
          <w:sz w:val="24"/>
          <w:szCs w:val="24"/>
          <w:highlight w:val="none"/>
          <w:u w:val="single"/>
        </w:rPr>
        <w:t>　　　　　　　　　　　　</w:t>
      </w:r>
    </w:p>
    <w:p>
      <w:pPr>
        <w:spacing w:line="312"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w:t>
      </w:r>
      <w:r>
        <w:rPr>
          <w:rFonts w:hint="eastAsia" w:ascii="宋体" w:hAnsi="宋体" w:eastAsia="宋体" w:cs="宋体"/>
          <w:color w:val="auto"/>
          <w:sz w:val="24"/>
          <w:szCs w:val="24"/>
          <w:highlight w:val="none"/>
          <w:u w:val="single"/>
        </w:rPr>
        <w:t xml:space="preserve">                        </w:t>
      </w:r>
    </w:p>
    <w:p>
      <w:pPr>
        <w:spacing w:line="312" w:lineRule="auto"/>
        <w:ind w:firstLine="3120" w:firstLineChars="1300"/>
        <w:jc w:val="righ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年    月    日</w:t>
      </w:r>
    </w:p>
    <w:p>
      <w:pPr>
        <w:spacing w:line="420" w:lineRule="exact"/>
        <w:jc w:val="center"/>
        <w:rPr>
          <w:rFonts w:hint="eastAsia" w:ascii="宋体" w:hAnsi="宋体" w:eastAsia="宋体" w:cs="宋体"/>
          <w:b/>
          <w:bCs/>
          <w:color w:val="auto"/>
          <w:sz w:val="28"/>
          <w:szCs w:val="28"/>
        </w:rPr>
      </w:pPr>
      <w:r>
        <w:rPr>
          <w:rFonts w:hint="eastAsia" w:ascii="宋体" w:hAnsi="宋体" w:eastAsia="宋体" w:cs="宋体"/>
          <w:b/>
          <w:color w:val="auto"/>
          <w:sz w:val="30"/>
          <w:szCs w:val="30"/>
          <w:highlight w:val="none"/>
        </w:rPr>
        <w:br w:type="page"/>
      </w:r>
      <w:bookmarkStart w:id="236" w:name="_Toc22695_WPSOffice_Level1"/>
      <w:bookmarkStart w:id="237" w:name="_Toc32417_WPSOffice_Level1"/>
      <w:bookmarkStart w:id="238" w:name="_Toc23566_WPSOffice_Level1"/>
      <w:r>
        <w:rPr>
          <w:rFonts w:hint="eastAsia" w:ascii="宋体" w:hAnsi="宋体" w:eastAsia="宋体" w:cs="宋体"/>
          <w:b/>
          <w:color w:val="auto"/>
          <w:sz w:val="30"/>
          <w:szCs w:val="30"/>
          <w:highlight w:val="none"/>
        </w:rPr>
        <w:t>3.</w:t>
      </w:r>
      <w:bookmarkEnd w:id="236"/>
      <w:bookmarkStart w:id="239" w:name="_Toc487790684"/>
      <w:bookmarkStart w:id="240" w:name="_Toc14797_WPSOffice_Level2"/>
      <w:r>
        <w:rPr>
          <w:rFonts w:hint="eastAsia" w:ascii="宋体" w:hAnsi="宋体" w:eastAsia="宋体" w:cs="宋体"/>
          <w:b/>
          <w:bCs/>
          <w:color w:val="auto"/>
          <w:sz w:val="28"/>
          <w:szCs w:val="28"/>
        </w:rPr>
        <w:t>法定代表人授权书</w:t>
      </w:r>
      <w:bookmarkEnd w:id="237"/>
      <w:bookmarkEnd w:id="238"/>
      <w:bookmarkEnd w:id="239"/>
      <w:bookmarkEnd w:id="240"/>
    </w:p>
    <w:p>
      <w:pPr>
        <w:spacing w:line="360" w:lineRule="auto"/>
        <w:ind w:firstLine="645"/>
        <w:rPr>
          <w:rFonts w:hint="eastAsia" w:ascii="宋体" w:hAnsi="宋体" w:eastAsia="宋体" w:cs="宋体"/>
          <w:color w:val="auto"/>
          <w:sz w:val="28"/>
          <w:szCs w:val="28"/>
        </w:rPr>
      </w:pP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本授权书声明：</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（法人代表</w:t>
      </w:r>
      <w:r>
        <w:rPr>
          <w:rFonts w:hint="eastAsia" w:ascii="宋体" w:hAnsi="宋体" w:cs="宋体"/>
          <w:color w:val="auto"/>
          <w:sz w:val="24"/>
          <w:szCs w:val="24"/>
          <w:highlight w:val="none"/>
          <w:lang w:eastAsia="zh-CN"/>
        </w:rPr>
        <w:t>（或负责人）</w:t>
      </w:r>
      <w:r>
        <w:rPr>
          <w:rFonts w:hint="eastAsia" w:ascii="宋体" w:hAnsi="宋体" w:eastAsia="宋体" w:cs="宋体"/>
          <w:color w:val="auto"/>
          <w:sz w:val="24"/>
          <w:szCs w:val="24"/>
        </w:rPr>
        <w:t>姓名、职务）代表本</w:t>
      </w:r>
      <w:r>
        <w:rPr>
          <w:rFonts w:hint="eastAsia" w:ascii="宋体" w:hAnsi="宋体" w:cs="宋体"/>
          <w:color w:val="auto"/>
          <w:sz w:val="24"/>
          <w:szCs w:val="24"/>
          <w:lang w:eastAsia="zh-CN"/>
        </w:rPr>
        <w:t>单位</w:t>
      </w:r>
      <w:r>
        <w:rPr>
          <w:rFonts w:hint="eastAsia" w:ascii="宋体" w:hAnsi="宋体" w:eastAsia="宋体" w:cs="宋体"/>
          <w:color w:val="auto"/>
          <w:sz w:val="24"/>
          <w:szCs w:val="24"/>
        </w:rPr>
        <w:t>授权本</w:t>
      </w:r>
      <w:r>
        <w:rPr>
          <w:rFonts w:hint="eastAsia" w:ascii="宋体" w:hAnsi="宋体" w:cs="宋体"/>
          <w:color w:val="auto"/>
          <w:sz w:val="24"/>
          <w:szCs w:val="24"/>
          <w:lang w:eastAsia="zh-CN"/>
        </w:rPr>
        <w:t>单位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（被授权人的姓名、职务）为本</w:t>
      </w:r>
      <w:r>
        <w:rPr>
          <w:rFonts w:hint="eastAsia" w:ascii="宋体" w:hAnsi="宋体" w:cs="宋体"/>
          <w:color w:val="auto"/>
          <w:sz w:val="24"/>
          <w:szCs w:val="24"/>
          <w:lang w:eastAsia="zh-CN"/>
        </w:rPr>
        <w:t>单位</w:t>
      </w:r>
      <w:r>
        <w:rPr>
          <w:rFonts w:hint="eastAsia" w:ascii="宋体" w:hAnsi="宋体" w:eastAsia="宋体" w:cs="宋体"/>
          <w:color w:val="auto"/>
          <w:sz w:val="24"/>
          <w:szCs w:val="24"/>
        </w:rPr>
        <w:t>的合法代理人，参加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采购项目活动（项目编号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），全权代表本</w:t>
      </w:r>
      <w:r>
        <w:rPr>
          <w:rFonts w:hint="eastAsia" w:ascii="宋体" w:hAnsi="宋体" w:cs="宋体"/>
          <w:color w:val="auto"/>
          <w:sz w:val="24"/>
          <w:szCs w:val="24"/>
          <w:lang w:eastAsia="zh-CN"/>
        </w:rPr>
        <w:t>单位</w:t>
      </w:r>
      <w:r>
        <w:rPr>
          <w:rFonts w:hint="eastAsia" w:ascii="宋体" w:hAnsi="宋体" w:eastAsia="宋体" w:cs="宋体"/>
          <w:color w:val="auto"/>
          <w:sz w:val="24"/>
          <w:szCs w:val="24"/>
        </w:rPr>
        <w:t>处理投标过程的一切事宜，包括但不限于：投标、参与开标、谈判、签约等。</w:t>
      </w: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代表在投标过程中所签署的一切文件和处理与之有关的一切事务，本</w:t>
      </w:r>
      <w:r>
        <w:rPr>
          <w:rFonts w:hint="eastAsia" w:ascii="宋体" w:hAnsi="宋体" w:cs="宋体"/>
          <w:color w:val="auto"/>
          <w:sz w:val="24"/>
          <w:szCs w:val="24"/>
          <w:lang w:eastAsia="zh-CN"/>
        </w:rPr>
        <w:t>单位</w:t>
      </w:r>
      <w:r>
        <w:rPr>
          <w:rFonts w:hint="eastAsia" w:ascii="宋体" w:hAnsi="宋体" w:eastAsia="宋体" w:cs="宋体"/>
          <w:color w:val="auto"/>
          <w:sz w:val="24"/>
          <w:szCs w:val="24"/>
        </w:rPr>
        <w:t>均予以认可并对此承担责任。被授权人无转委托权。特此授权。</w:t>
      </w: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本授权书自出具之日起生效。</w:t>
      </w: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spacing w:line="360" w:lineRule="auto"/>
        <w:ind w:firstLine="645"/>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w:t>
      </w:r>
      <w:r>
        <w:rPr>
          <w:rFonts w:hint="eastAsia" w:ascii="宋体" w:hAnsi="宋体" w:cs="宋体"/>
          <w:color w:val="auto"/>
          <w:sz w:val="24"/>
          <w:szCs w:val="24"/>
          <w:highlight w:val="none"/>
          <w:lang w:eastAsia="zh-CN"/>
        </w:rPr>
        <w:t>（或负责人）</w:t>
      </w:r>
      <w:r>
        <w:rPr>
          <w:rFonts w:hint="eastAsia" w:ascii="宋体" w:hAnsi="宋体" w:eastAsia="宋体" w:cs="宋体"/>
          <w:color w:val="auto"/>
          <w:sz w:val="24"/>
          <w:szCs w:val="24"/>
        </w:rPr>
        <w:t>签字或盖章：</w:t>
      </w:r>
      <w:r>
        <w:rPr>
          <w:rFonts w:hint="eastAsia" w:ascii="宋体" w:hAnsi="宋体" w:eastAsia="宋体" w:cs="宋体"/>
          <w:color w:val="auto"/>
          <w:sz w:val="24"/>
          <w:szCs w:val="24"/>
          <w:u w:val="single"/>
        </w:rPr>
        <w:t xml:space="preserve">                    </w:t>
      </w: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代理人（被授权人）签字或盖章：</w:t>
      </w:r>
      <w:r>
        <w:rPr>
          <w:rFonts w:hint="eastAsia" w:ascii="宋体" w:hAnsi="宋体" w:eastAsia="宋体" w:cs="宋体"/>
          <w:color w:val="auto"/>
          <w:sz w:val="24"/>
          <w:szCs w:val="24"/>
          <w:u w:val="single"/>
        </w:rPr>
        <w:t xml:space="preserve">              </w:t>
      </w:r>
    </w:p>
    <w:p>
      <w:pPr>
        <w:spacing w:line="360" w:lineRule="auto"/>
        <w:ind w:firstLine="645"/>
        <w:rPr>
          <w:rFonts w:hint="eastAsia" w:ascii="宋体" w:hAnsi="宋体" w:eastAsia="宋体" w:cs="宋体"/>
          <w:color w:val="auto"/>
          <w:sz w:val="24"/>
          <w:szCs w:val="24"/>
        </w:rPr>
      </w:pPr>
      <w:r>
        <w:rPr>
          <w:rFonts w:hint="eastAsia" w:ascii="宋体" w:hAnsi="宋体" w:cs="宋体"/>
          <w:color w:val="auto"/>
          <w:sz w:val="24"/>
          <w:szCs w:val="24"/>
          <w:lang w:eastAsia="zh-CN"/>
        </w:rPr>
        <w:t>投标供应商</w:t>
      </w:r>
      <w:r>
        <w:rPr>
          <w:rFonts w:hint="eastAsia" w:ascii="宋体" w:hAnsi="宋体" w:eastAsia="宋体" w:cs="宋体"/>
          <w:color w:val="auto"/>
          <w:sz w:val="24"/>
          <w:szCs w:val="24"/>
        </w:rPr>
        <w:t>名称(加盖公章)：</w:t>
      </w:r>
      <w:r>
        <w:rPr>
          <w:rFonts w:hint="eastAsia" w:ascii="宋体" w:hAnsi="宋体" w:eastAsia="宋体" w:cs="宋体"/>
          <w:color w:val="auto"/>
          <w:sz w:val="24"/>
          <w:szCs w:val="24"/>
          <w:u w:val="single"/>
        </w:rPr>
        <w:t xml:space="preserve">                       </w:t>
      </w:r>
    </w:p>
    <w:p>
      <w:pPr>
        <w:spacing w:line="360" w:lineRule="auto"/>
        <w:ind w:firstLine="645"/>
        <w:rPr>
          <w:rFonts w:hint="eastAsia" w:ascii="宋体" w:hAnsi="宋体" w:eastAsia="宋体" w:cs="宋体"/>
          <w:color w:val="auto"/>
          <w:sz w:val="24"/>
          <w:szCs w:val="24"/>
          <w:u w:val="single"/>
        </w:rPr>
      </w:pPr>
      <w:r>
        <w:rPr>
          <w:rFonts w:hint="eastAsia" w:ascii="宋体" w:hAnsi="宋体" w:eastAsia="宋体" w:cs="宋体"/>
          <w:color w:val="auto"/>
          <w:sz w:val="24"/>
          <w:szCs w:val="24"/>
        </w:rPr>
        <w:t>授权委托日期：</w:t>
      </w:r>
      <w:r>
        <w:rPr>
          <w:rFonts w:hint="eastAsia" w:ascii="宋体" w:hAnsi="宋体" w:eastAsia="宋体" w:cs="宋体"/>
          <w:color w:val="auto"/>
          <w:sz w:val="24"/>
          <w:szCs w:val="24"/>
          <w:u w:val="single"/>
        </w:rPr>
        <w:t xml:space="preserve">                 </w:t>
      </w:r>
    </w:p>
    <w:p>
      <w:pPr>
        <w:pStyle w:val="2"/>
        <w:rPr>
          <w:rFonts w:hint="eastAsia" w:ascii="宋体" w:hAnsi="宋体" w:eastAsia="宋体" w:cs="宋体"/>
          <w:color w:val="auto"/>
        </w:rPr>
      </w:pPr>
    </w:p>
    <w:p>
      <w:pPr>
        <w:spacing w:line="240" w:lineRule="atLeast"/>
        <w:rPr>
          <w:rFonts w:hint="eastAsia" w:ascii="宋体" w:hAnsi="宋体" w:eastAsia="宋体" w:cs="宋体"/>
          <w:b/>
          <w:color w:val="auto"/>
          <w:sz w:val="24"/>
          <w:szCs w:val="24"/>
        </w:rPr>
      </w:pPr>
    </w:p>
    <w:p>
      <w:pPr>
        <w:spacing w:line="240" w:lineRule="atLeast"/>
        <w:rPr>
          <w:rFonts w:hint="eastAsia" w:ascii="宋体" w:hAnsi="宋体" w:eastAsia="宋体" w:cs="宋体"/>
          <w:b/>
          <w:color w:val="auto"/>
          <w:sz w:val="28"/>
          <w:szCs w:val="28"/>
        </w:rPr>
      </w:pPr>
      <w:bookmarkStart w:id="241" w:name="_Toc30340_WPSOffice_Level2"/>
      <w:r>
        <w:rPr>
          <w:rFonts w:hint="eastAsia" w:ascii="宋体" w:hAnsi="宋体" w:eastAsia="宋体" w:cs="宋体"/>
          <w:b/>
          <w:color w:val="auto"/>
          <w:sz w:val="28"/>
          <w:szCs w:val="28"/>
        </w:rPr>
        <w:t>附件：</w:t>
      </w:r>
      <w:r>
        <w:rPr>
          <w:rFonts w:hint="eastAsia" w:ascii="宋体" w:hAnsi="宋体" w:cs="宋体"/>
          <w:b/>
          <w:color w:val="auto"/>
          <w:sz w:val="28"/>
          <w:szCs w:val="28"/>
          <w:lang w:eastAsia="zh-CN"/>
        </w:rPr>
        <w:t>投标供应商</w:t>
      </w:r>
      <w:r>
        <w:rPr>
          <w:rFonts w:hint="eastAsia" w:ascii="宋体" w:hAnsi="宋体" w:eastAsia="宋体" w:cs="宋体"/>
          <w:b/>
          <w:color w:val="auto"/>
          <w:sz w:val="28"/>
          <w:szCs w:val="28"/>
        </w:rPr>
        <w:t>法定代表人</w:t>
      </w:r>
      <w:r>
        <w:rPr>
          <w:rFonts w:hint="eastAsia" w:ascii="宋体" w:hAnsi="宋体" w:eastAsia="宋体" w:cs="宋体"/>
          <w:b/>
          <w:color w:val="auto"/>
          <w:sz w:val="28"/>
          <w:szCs w:val="28"/>
          <w:lang w:eastAsia="zh-CN"/>
        </w:rPr>
        <w:t>（或负责人）</w:t>
      </w:r>
      <w:r>
        <w:rPr>
          <w:rFonts w:hint="eastAsia" w:ascii="宋体" w:hAnsi="宋体" w:eastAsia="宋体" w:cs="宋体"/>
          <w:b/>
          <w:color w:val="auto"/>
          <w:sz w:val="28"/>
          <w:szCs w:val="28"/>
        </w:rPr>
        <w:t>、被授权代表人身份证复印件及联系方式</w:t>
      </w:r>
      <w:bookmarkEnd w:id="241"/>
    </w:p>
    <w:p>
      <w:pPr>
        <w:spacing w:line="240" w:lineRule="atLeast"/>
        <w:rPr>
          <w:rFonts w:hint="eastAsia" w:ascii="宋体" w:hAnsi="宋体" w:eastAsia="宋体" w:cs="宋体"/>
          <w:b/>
          <w:color w:val="auto"/>
          <w:sz w:val="28"/>
          <w:szCs w:val="28"/>
        </w:rPr>
      </w:pPr>
    </w:p>
    <w:p>
      <w:pPr>
        <w:pStyle w:val="32"/>
        <w:spacing w:line="460" w:lineRule="exact"/>
        <w:ind w:left="720" w:hanging="720" w:hangingChars="300"/>
        <w:jc w:val="both"/>
        <w:rPr>
          <w:rFonts w:hint="eastAsia" w:ascii="宋体" w:hAnsi="宋体" w:eastAsia="宋体" w:cs="宋体"/>
          <w:color w:val="auto"/>
          <w:sz w:val="24"/>
          <w:szCs w:val="24"/>
          <w:highlight w:val="none"/>
          <w:lang w:val="zh-CN"/>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pStyle w:val="33"/>
        <w:jc w:val="center"/>
        <w:rPr>
          <w:rFonts w:hint="eastAsia" w:ascii="宋体" w:hAnsi="宋体" w:eastAsia="宋体" w:cs="宋体"/>
          <w:b/>
          <w:color w:val="auto"/>
          <w:sz w:val="28"/>
          <w:highlight w:val="none"/>
        </w:rPr>
      </w:pPr>
    </w:p>
    <w:p>
      <w:pPr>
        <w:adjustRightInd w:val="0"/>
        <w:snapToGrid w:val="0"/>
        <w:spacing w:before="48" w:beforeLines="20" w:after="48" w:afterLines="20" w:line="540" w:lineRule="exact"/>
        <w:jc w:val="center"/>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adjustRightInd w:val="0"/>
        <w:snapToGrid w:val="0"/>
        <w:spacing w:before="48" w:beforeLines="20" w:after="48" w:afterLines="20" w:line="540" w:lineRule="exact"/>
        <w:jc w:val="center"/>
        <w:rPr>
          <w:rFonts w:hint="eastAsia" w:ascii="宋体" w:hAnsi="宋体" w:eastAsia="宋体" w:cs="宋体"/>
          <w:b/>
          <w:color w:val="auto"/>
          <w:sz w:val="30"/>
          <w:szCs w:val="30"/>
          <w:highlight w:val="none"/>
        </w:rPr>
      </w:pPr>
      <w:bookmarkStart w:id="242" w:name="_Toc32159_WPSOffice_Level1"/>
      <w:bookmarkStart w:id="243" w:name="_Toc7662_WPSOffice_Level1"/>
      <w:bookmarkStart w:id="244" w:name="_Toc25968_WPSOffice_Level1"/>
      <w:r>
        <w:rPr>
          <w:rFonts w:hint="eastAsia" w:ascii="宋体" w:hAnsi="宋体" w:eastAsia="宋体" w:cs="宋体"/>
          <w:b/>
          <w:color w:val="auto"/>
          <w:sz w:val="30"/>
          <w:szCs w:val="30"/>
          <w:highlight w:val="none"/>
        </w:rPr>
        <w:t>4.首轮响应报价表</w:t>
      </w:r>
      <w:bookmarkEnd w:id="242"/>
      <w:bookmarkEnd w:id="243"/>
      <w:bookmarkEnd w:id="244"/>
    </w:p>
    <w:p>
      <w:pPr>
        <w:pStyle w:val="33"/>
        <w:jc w:val="center"/>
        <w:rPr>
          <w:rFonts w:hint="eastAsia" w:ascii="宋体" w:hAnsi="宋体" w:eastAsia="宋体" w:cs="宋体"/>
          <w:b/>
          <w:color w:val="auto"/>
          <w:sz w:val="28"/>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货币单位：人民币元</w:t>
      </w:r>
    </w:p>
    <w:tbl>
      <w:tblPr>
        <w:tblStyle w:val="17"/>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231"/>
        <w:gridCol w:w="1358"/>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786"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3231" w:type="dxa"/>
            <w:vAlign w:val="center"/>
          </w:tcPr>
          <w:p>
            <w:pPr>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阜阳市发展和改革委员会“十四五”规划前期课题研究服务单位采购项目</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标包</w:t>
            </w:r>
          </w:p>
        </w:tc>
        <w:tc>
          <w:tcPr>
            <w:tcW w:w="1358"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项目编号</w:t>
            </w:r>
          </w:p>
        </w:tc>
        <w:tc>
          <w:tcPr>
            <w:tcW w:w="2816" w:type="dxa"/>
            <w:vAlign w:val="center"/>
          </w:tcPr>
          <w:p>
            <w:pPr>
              <w:pStyle w:val="33"/>
              <w:jc w:val="center"/>
              <w:rPr>
                <w:rFonts w:hint="eastAsia" w:ascii="宋体" w:hAnsi="宋体" w:eastAsia="宋体" w:cs="宋体"/>
                <w:color w:val="auto"/>
                <w:highlight w:val="none"/>
              </w:rPr>
            </w:pPr>
            <w:r>
              <w:rPr>
                <w:rFonts w:hint="eastAsia" w:ascii="宋体" w:hAnsi="宋体" w:eastAsia="宋体" w:cs="宋体"/>
                <w:bCs/>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1786"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首轮响应</w:t>
            </w:r>
          </w:p>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总报价</w:t>
            </w:r>
          </w:p>
        </w:tc>
        <w:tc>
          <w:tcPr>
            <w:tcW w:w="7405" w:type="dxa"/>
            <w:gridSpan w:val="3"/>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786"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项目完成期限</w:t>
            </w:r>
          </w:p>
        </w:tc>
        <w:tc>
          <w:tcPr>
            <w:tcW w:w="7405" w:type="dxa"/>
            <w:gridSpan w:val="3"/>
            <w:vAlign w:val="center"/>
          </w:tcPr>
          <w:p>
            <w:pPr>
              <w:pStyle w:val="3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2019年9月5日前完成全部工作并通过采购人验收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786" w:type="dxa"/>
            <w:vAlign w:val="center"/>
          </w:tcPr>
          <w:p>
            <w:pPr>
              <w:pStyle w:val="3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免费</w:t>
            </w:r>
            <w:r>
              <w:rPr>
                <w:rFonts w:hint="eastAsia" w:ascii="宋体" w:hAnsi="宋体" w:eastAsia="宋体" w:cs="宋体"/>
                <w:b/>
                <w:color w:val="auto"/>
                <w:highlight w:val="none"/>
                <w:lang w:eastAsia="zh-CN"/>
              </w:rPr>
              <w:t>服务期</w:t>
            </w:r>
          </w:p>
        </w:tc>
        <w:tc>
          <w:tcPr>
            <w:tcW w:w="7405" w:type="dxa"/>
            <w:gridSpan w:val="3"/>
            <w:vAlign w:val="center"/>
          </w:tcPr>
          <w:p>
            <w:pPr>
              <w:pStyle w:val="3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按采购人约定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9191" w:type="dxa"/>
            <w:gridSpan w:val="4"/>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备注：1、供应商不要擅自修改本表格式。</w:t>
            </w:r>
          </w:p>
          <w:p>
            <w:pPr>
              <w:pStyle w:val="33"/>
              <w:rPr>
                <w:rFonts w:hint="eastAsia" w:ascii="宋体" w:hAnsi="宋体" w:eastAsia="宋体" w:cs="宋体"/>
                <w:color w:val="auto"/>
                <w:highlight w:val="none"/>
              </w:rPr>
            </w:pPr>
          </w:p>
        </w:tc>
      </w:tr>
    </w:tbl>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响应总报价包含本项目所有的费用。</w:t>
      </w:r>
    </w:p>
    <w:p>
      <w:pPr>
        <w:pStyle w:val="33"/>
        <w:spacing w:line="360" w:lineRule="auto"/>
        <w:rPr>
          <w:rFonts w:hint="eastAsia" w:ascii="宋体" w:hAnsi="宋体" w:eastAsia="宋体" w:cs="宋体"/>
          <w:color w:val="auto"/>
          <w:highlight w:val="none"/>
        </w:rPr>
      </w:pPr>
    </w:p>
    <w:p>
      <w:pPr>
        <w:pStyle w:val="34"/>
        <w:jc w:val="center"/>
        <w:rPr>
          <w:rFonts w:hint="eastAsia" w:ascii="宋体" w:hAnsi="宋体" w:eastAsia="宋体" w:cs="宋体"/>
          <w:b/>
          <w:color w:val="auto"/>
          <w:sz w:val="24"/>
          <w:szCs w:val="24"/>
          <w:highlight w:val="none"/>
        </w:rPr>
      </w:pPr>
    </w:p>
    <w:p>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spacing w:line="480" w:lineRule="auto"/>
        <w:ind w:left="3915" w:leftChars="1750" w:hanging="240" w:hanging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法定代表人（负责人）或授权代表（签字或盖章）：                       日期：</w:t>
      </w:r>
    </w:p>
    <w:p>
      <w:pPr>
        <w:adjustRightInd w:val="0"/>
        <w:snapToGrid w:val="0"/>
        <w:spacing w:before="48" w:beforeLines="20" w:after="48" w:afterLines="20" w:line="5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bookmarkStart w:id="245" w:name="_Toc9349_WPSOffice_Level1"/>
      <w:bookmarkStart w:id="246" w:name="_Toc25188_WPSOffice_Level1"/>
      <w:bookmarkStart w:id="247" w:name="_Toc12300_WPSOffice_Level1"/>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二轮/N轮报价表</w:t>
      </w:r>
      <w:bookmarkEnd w:id="245"/>
      <w:bookmarkEnd w:id="246"/>
      <w:bookmarkEnd w:id="247"/>
    </w:p>
    <w:p>
      <w:pPr>
        <w:pStyle w:val="33"/>
        <w:jc w:val="center"/>
        <w:rPr>
          <w:rFonts w:hint="eastAsia" w:ascii="宋体" w:hAnsi="宋体" w:eastAsia="宋体" w:cs="宋体"/>
          <w:b/>
          <w:color w:val="auto"/>
          <w:sz w:val="28"/>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货币单位：人民币元</w:t>
      </w:r>
    </w:p>
    <w:tbl>
      <w:tblPr>
        <w:tblStyle w:val="1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601"/>
        <w:gridCol w:w="138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519"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3601" w:type="dxa"/>
            <w:vAlign w:val="center"/>
          </w:tcPr>
          <w:p>
            <w:pPr>
              <w:pStyle w:val="33"/>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阜阳市发展和改革委员会“十四五”规划前期课题研究服务单位采购项目</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标包</w:t>
            </w:r>
            <w:r>
              <w:rPr>
                <w:rFonts w:hint="eastAsia" w:ascii="宋体" w:hAnsi="宋体" w:eastAsia="宋体" w:cs="宋体"/>
                <w:color w:val="auto"/>
                <w:sz w:val="28"/>
                <w:szCs w:val="28"/>
                <w:highlight w:val="none"/>
              </w:rPr>
              <w:t xml:space="preserve"> </w:t>
            </w:r>
          </w:p>
        </w:tc>
        <w:tc>
          <w:tcPr>
            <w:tcW w:w="1386"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项目编号</w:t>
            </w:r>
          </w:p>
        </w:tc>
        <w:tc>
          <w:tcPr>
            <w:tcW w:w="2874" w:type="dxa"/>
            <w:vAlign w:val="center"/>
          </w:tcPr>
          <w:p>
            <w:pPr>
              <w:pStyle w:val="33"/>
              <w:jc w:val="center"/>
              <w:rPr>
                <w:rFonts w:hint="eastAsia" w:ascii="宋体" w:hAnsi="宋体" w:eastAsia="宋体" w:cs="宋体"/>
                <w:color w:val="auto"/>
                <w:highlight w:val="none"/>
              </w:rPr>
            </w:pPr>
            <w:r>
              <w:rPr>
                <w:rFonts w:hint="eastAsia" w:ascii="宋体" w:hAnsi="宋体" w:eastAsia="宋体" w:cs="宋体"/>
                <w:bCs/>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1519"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响应总报价</w:t>
            </w:r>
          </w:p>
        </w:tc>
        <w:tc>
          <w:tcPr>
            <w:tcW w:w="7861" w:type="dxa"/>
            <w:gridSpan w:val="3"/>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 xml:space="preserve">:          </w:t>
            </w:r>
          </w:p>
          <w:p>
            <w:pPr>
              <w:pStyle w:val="3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519"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项目完成期限</w:t>
            </w:r>
          </w:p>
        </w:tc>
        <w:tc>
          <w:tcPr>
            <w:tcW w:w="7861" w:type="dxa"/>
            <w:gridSpan w:val="3"/>
            <w:vAlign w:val="center"/>
          </w:tcPr>
          <w:p>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2019年9月5日前完成全部工作并通过采购人验收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1519" w:type="dxa"/>
            <w:vAlign w:val="center"/>
          </w:tcPr>
          <w:p>
            <w:pPr>
              <w:pStyle w:val="33"/>
              <w:jc w:val="center"/>
              <w:rPr>
                <w:rFonts w:hint="eastAsia" w:ascii="宋体" w:hAnsi="宋体" w:eastAsia="宋体" w:cs="宋体"/>
                <w:b/>
                <w:color w:val="auto"/>
                <w:highlight w:val="none"/>
              </w:rPr>
            </w:pPr>
            <w:r>
              <w:rPr>
                <w:rFonts w:hint="eastAsia" w:ascii="宋体" w:hAnsi="宋体" w:eastAsia="宋体" w:cs="宋体"/>
                <w:b/>
                <w:color w:val="auto"/>
                <w:highlight w:val="none"/>
              </w:rPr>
              <w:t>免费</w:t>
            </w:r>
            <w:r>
              <w:rPr>
                <w:rFonts w:hint="eastAsia" w:ascii="宋体" w:hAnsi="宋体" w:eastAsia="宋体" w:cs="宋体"/>
                <w:b/>
                <w:color w:val="auto"/>
                <w:highlight w:val="none"/>
                <w:lang w:eastAsia="zh-CN"/>
              </w:rPr>
              <w:t>服务期</w:t>
            </w:r>
          </w:p>
        </w:tc>
        <w:tc>
          <w:tcPr>
            <w:tcW w:w="7861" w:type="dxa"/>
            <w:gridSpan w:val="3"/>
            <w:vAlign w:val="center"/>
          </w:tcPr>
          <w:p>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按采购人约定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9380" w:type="dxa"/>
            <w:gridSpan w:val="4"/>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备注：1、供应商不要擅自修改本表格式。</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2、本表中除报价外其他内容须填写完整。</w:t>
            </w:r>
          </w:p>
          <w:p>
            <w:pPr>
              <w:rPr>
                <w:rFonts w:hint="eastAsia" w:ascii="宋体" w:hAnsi="宋体" w:eastAsia="宋体" w:cs="宋体"/>
                <w:b/>
                <w:color w:val="auto"/>
                <w:spacing w:val="20"/>
                <w:sz w:val="24"/>
                <w:highlight w:val="none"/>
              </w:rPr>
            </w:pPr>
            <w:r>
              <w:rPr>
                <w:rFonts w:hint="eastAsia" w:ascii="宋体" w:hAnsi="宋体" w:eastAsia="宋体" w:cs="宋体"/>
                <w:color w:val="auto"/>
                <w:sz w:val="24"/>
                <w:szCs w:val="24"/>
                <w:highlight w:val="none"/>
              </w:rPr>
              <w:t>3、本表在响应文件中须装订一份</w:t>
            </w:r>
            <w:r>
              <w:rPr>
                <w:rFonts w:hint="eastAsia" w:ascii="宋体" w:hAnsi="宋体" w:cs="宋体"/>
                <w:color w:val="auto"/>
                <w:sz w:val="24"/>
                <w:szCs w:val="24"/>
                <w:highlight w:val="none"/>
                <w:lang w:eastAsia="zh-CN"/>
              </w:rPr>
              <w:t>空白表格盖章</w:t>
            </w:r>
            <w:r>
              <w:rPr>
                <w:rFonts w:hint="eastAsia" w:ascii="宋体" w:hAnsi="宋体" w:eastAsia="宋体" w:cs="宋体"/>
                <w:color w:val="auto"/>
                <w:sz w:val="24"/>
                <w:szCs w:val="24"/>
                <w:highlight w:val="none"/>
              </w:rPr>
              <w:t>，另外供应商可多备几份以备不时之需。</w:t>
            </w:r>
          </w:p>
        </w:tc>
      </w:tr>
    </w:tbl>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响应总报价包含本项目所有的费用。</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2.本表须胶装在响应文件一份，另手持多份以供二轮/N轮报价所需。</w:t>
      </w:r>
    </w:p>
    <w:p>
      <w:pPr>
        <w:spacing w:line="480" w:lineRule="auto"/>
        <w:jc w:val="center"/>
        <w:rPr>
          <w:rFonts w:hint="eastAsia" w:ascii="宋体" w:hAnsi="宋体" w:eastAsia="宋体" w:cs="宋体"/>
          <w:color w:val="auto"/>
          <w:sz w:val="24"/>
          <w:szCs w:val="24"/>
          <w:highlight w:val="none"/>
        </w:rPr>
      </w:pPr>
    </w:p>
    <w:p>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spacing w:line="480" w:lineRule="auto"/>
        <w:ind w:left="3675" w:leftChars="175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法定代表人（负责人）或授权代表（签字或盖章）：                       日期：</w:t>
      </w:r>
    </w:p>
    <w:p>
      <w:pPr>
        <w:autoSpaceDE w:val="0"/>
        <w:autoSpaceDN w:val="0"/>
        <w:adjustRightInd w:val="0"/>
        <w:jc w:val="center"/>
        <w:outlineLvl w:val="1"/>
        <w:rPr>
          <w:rFonts w:hint="eastAsia" w:ascii="宋体" w:hAnsi="宋体" w:eastAsia="宋体" w:cs="宋体"/>
          <w:b/>
          <w:bCs/>
          <w:color w:val="auto"/>
          <w:sz w:val="32"/>
          <w:szCs w:val="32"/>
          <w:highlight w:val="none"/>
        </w:rPr>
      </w:pPr>
      <w:bookmarkStart w:id="248" w:name="_Toc5042_WPSOffice_Level2"/>
    </w:p>
    <w:p>
      <w:pPr>
        <w:autoSpaceDE w:val="0"/>
        <w:autoSpaceDN w:val="0"/>
        <w:adjustRightInd w:val="0"/>
        <w:jc w:val="center"/>
        <w:outlineLvl w:val="1"/>
        <w:rPr>
          <w:rFonts w:hint="eastAsia" w:ascii="宋体" w:hAnsi="宋体" w:eastAsia="宋体" w:cs="宋体"/>
          <w:b/>
          <w:bCs/>
          <w:color w:val="auto"/>
          <w:sz w:val="32"/>
          <w:szCs w:val="32"/>
          <w:highlight w:val="none"/>
        </w:rPr>
      </w:pPr>
    </w:p>
    <w:bookmarkEnd w:id="231"/>
    <w:bookmarkEnd w:id="248"/>
    <w:p>
      <w:pPr>
        <w:rPr>
          <w:rFonts w:hint="eastAsia" w:ascii="宋体" w:hAnsi="宋体" w:eastAsia="宋体" w:cs="宋体"/>
          <w:b/>
          <w:bCs/>
          <w:color w:val="auto"/>
          <w:sz w:val="32"/>
          <w:szCs w:val="32"/>
          <w:highlight w:val="none"/>
          <w:lang w:val="en-US" w:eastAsia="zh-CN"/>
        </w:rPr>
      </w:pPr>
      <w:bookmarkStart w:id="249" w:name="_Toc12053_WPSOffice_Level1"/>
      <w:bookmarkStart w:id="250" w:name="_Toc487790688"/>
      <w:r>
        <w:rPr>
          <w:rFonts w:hint="eastAsia" w:ascii="宋体" w:hAnsi="宋体" w:eastAsia="宋体" w:cs="宋体"/>
          <w:b/>
          <w:bCs/>
          <w:color w:val="auto"/>
          <w:sz w:val="32"/>
          <w:szCs w:val="32"/>
          <w:highlight w:val="none"/>
          <w:lang w:val="en-US" w:eastAsia="zh-CN"/>
        </w:rPr>
        <w:br w:type="page"/>
      </w:r>
    </w:p>
    <w:p>
      <w:pPr>
        <w:autoSpaceDE w:val="0"/>
        <w:autoSpaceDN w:val="0"/>
        <w:adjustRightInd w:val="0"/>
        <w:jc w:val="center"/>
        <w:outlineLvl w:val="1"/>
        <w:rPr>
          <w:rFonts w:hint="eastAsia" w:ascii="宋体" w:hAnsi="宋体" w:eastAsia="宋体" w:cs="宋体"/>
          <w:b/>
          <w:bCs/>
          <w:color w:val="auto"/>
          <w:sz w:val="32"/>
          <w:szCs w:val="32"/>
          <w:highlight w:val="none"/>
        </w:rPr>
      </w:pPr>
      <w:bookmarkStart w:id="251" w:name="_Toc738_WPSOffice_Level1"/>
      <w:bookmarkStart w:id="252" w:name="_Toc19877_WPSOffice_Level1"/>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rPr>
        <w:t>服务分项报价表</w:t>
      </w:r>
      <w:bookmarkEnd w:id="249"/>
      <w:bookmarkEnd w:id="251"/>
      <w:bookmarkEnd w:id="252"/>
    </w:p>
    <w:p>
      <w:pPr>
        <w:tabs>
          <w:tab w:val="left" w:pos="630"/>
        </w:tabs>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（投标供应商格式自拟）</w:t>
      </w:r>
    </w:p>
    <w:p>
      <w:pPr>
        <w:spacing w:line="360" w:lineRule="auto"/>
        <w:jc w:val="right"/>
        <w:rPr>
          <w:rFonts w:hint="eastAsia" w:ascii="宋体" w:hAnsi="宋体" w:eastAsia="宋体" w:cs="宋体"/>
          <w:color w:val="auto"/>
          <w:sz w:val="24"/>
          <w:highlight w:val="none"/>
          <w:u w:val="single"/>
        </w:rPr>
      </w:pPr>
    </w:p>
    <w:p>
      <w:pPr>
        <w:autoSpaceDE w:val="0"/>
        <w:autoSpaceDN w:val="0"/>
        <w:adjustRightInd w:val="0"/>
        <w:jc w:val="center"/>
        <w:rPr>
          <w:rFonts w:hint="eastAsia" w:ascii="宋体" w:hAnsi="宋体" w:eastAsia="宋体" w:cs="宋体"/>
          <w:b/>
          <w:bCs/>
          <w:color w:val="auto"/>
          <w:kern w:val="0"/>
          <w:sz w:val="30"/>
          <w:szCs w:val="30"/>
          <w:highlight w:val="none"/>
        </w:rPr>
      </w:pPr>
    </w:p>
    <w:p>
      <w:pPr>
        <w:adjustRightInd w:val="0"/>
        <w:snapToGrid w:val="0"/>
        <w:spacing w:line="360" w:lineRule="auto"/>
        <w:jc w:val="center"/>
        <w:rPr>
          <w:b/>
          <w:bCs/>
          <w:color w:val="auto"/>
          <w:sz w:val="24"/>
        </w:rPr>
      </w:pPr>
      <w:bookmarkStart w:id="253" w:name="_Toc20427_WPSOffice_Level2"/>
      <w:bookmarkStart w:id="254" w:name="_Toc21406_WPSOffice_Level2"/>
      <w:bookmarkStart w:id="255" w:name="_Toc31739_WPSOffice_Level2"/>
      <w:bookmarkStart w:id="256" w:name="_Toc487790680"/>
      <w:r>
        <w:rPr>
          <w:rFonts w:hint="eastAsia" w:ascii="宋体" w:hAnsi="宋体" w:eastAsia="宋体" w:cs="宋体"/>
          <w:b/>
          <w:bCs/>
          <w:color w:val="auto"/>
          <w:sz w:val="32"/>
          <w:szCs w:val="32"/>
          <w:highlight w:val="none"/>
        </w:rPr>
        <w:br w:type="page"/>
      </w:r>
      <w:bookmarkEnd w:id="253"/>
      <w:bookmarkEnd w:id="254"/>
      <w:bookmarkEnd w:id="255"/>
      <w:bookmarkEnd w:id="256"/>
      <w:bookmarkStart w:id="257" w:name="_Toc10111_WPSOffice_Level1"/>
      <w:bookmarkStart w:id="258" w:name="_Toc3800"/>
      <w:bookmarkStart w:id="259" w:name="_Toc13810_WPSOffice_Level1"/>
      <w:bookmarkStart w:id="260" w:name="_Toc29324_WPSOffice_Level1"/>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课题研究方案</w:t>
      </w:r>
      <w:bookmarkEnd w:id="257"/>
    </w:p>
    <w:p>
      <w:pPr>
        <w:autoSpaceDE w:val="0"/>
        <w:autoSpaceDN w:val="0"/>
        <w:adjustRightInd w:val="0"/>
        <w:jc w:val="center"/>
        <w:outlineLvl w:val="1"/>
        <w:rPr>
          <w:rFonts w:hint="eastAsia" w:ascii="宋体" w:hAnsi="宋体" w:eastAsia="宋体" w:cs="宋体"/>
          <w:b/>
          <w:bCs/>
          <w:color w:val="auto"/>
          <w:sz w:val="32"/>
          <w:szCs w:val="32"/>
          <w:highlight w:val="none"/>
          <w:lang w:val="en-US" w:eastAsia="zh-CN"/>
        </w:rPr>
      </w:pPr>
    </w:p>
    <w:p>
      <w:pPr>
        <w:autoSpaceDE w:val="0"/>
        <w:autoSpaceDN w:val="0"/>
        <w:adjustRightInd w:val="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7.1</w:t>
      </w:r>
      <w:r>
        <w:rPr>
          <w:rFonts w:hint="eastAsia" w:ascii="宋体" w:hAnsi="宋体" w:eastAsia="宋体" w:cs="宋体"/>
          <w:b/>
          <w:bCs/>
          <w:color w:val="auto"/>
          <w:sz w:val="32"/>
          <w:szCs w:val="32"/>
          <w:highlight w:val="none"/>
        </w:rPr>
        <w:t>针对本项目拟定</w:t>
      </w:r>
      <w:bookmarkEnd w:id="258"/>
      <w:bookmarkEnd w:id="259"/>
      <w:r>
        <w:rPr>
          <w:rFonts w:hint="eastAsia" w:ascii="宋体" w:hAnsi="宋体" w:eastAsia="宋体" w:cs="宋体"/>
          <w:b/>
          <w:bCs/>
          <w:color w:val="auto"/>
          <w:sz w:val="32"/>
          <w:szCs w:val="32"/>
          <w:highlight w:val="none"/>
          <w:lang w:eastAsia="zh-CN"/>
        </w:rPr>
        <w:t>的</w:t>
      </w:r>
      <w:r>
        <w:rPr>
          <w:rFonts w:hint="eastAsia" w:ascii="宋体" w:hAnsi="宋体" w:eastAsia="宋体" w:cs="宋体"/>
          <w:b/>
          <w:bCs/>
          <w:color w:val="auto"/>
          <w:sz w:val="32"/>
          <w:szCs w:val="32"/>
          <w:highlight w:val="none"/>
        </w:rPr>
        <w:t>方案</w:t>
      </w:r>
      <w:r>
        <w:rPr>
          <w:rFonts w:hint="eastAsia" w:ascii="宋体" w:hAnsi="宋体" w:eastAsia="宋体" w:cs="宋体"/>
          <w:b/>
          <w:bCs/>
          <w:color w:val="auto"/>
          <w:sz w:val="32"/>
          <w:szCs w:val="32"/>
          <w:highlight w:val="none"/>
          <w:lang w:eastAsia="zh-CN"/>
        </w:rPr>
        <w:t>等</w:t>
      </w:r>
      <w:bookmarkEnd w:id="260"/>
    </w:p>
    <w:p>
      <w:pPr>
        <w:tabs>
          <w:tab w:val="left" w:pos="630"/>
        </w:tabs>
        <w:ind w:left="0" w:leftChars="0" w:firstLine="0" w:firstLineChars="0"/>
        <w:jc w:val="center"/>
        <w:rPr>
          <w:rFonts w:hint="eastAsia" w:ascii="宋体" w:hAnsi="宋体" w:eastAsia="宋体" w:cs="宋体"/>
          <w:color w:val="auto"/>
          <w:sz w:val="24"/>
          <w:szCs w:val="24"/>
          <w:highlight w:val="none"/>
        </w:rPr>
      </w:pPr>
    </w:p>
    <w:p>
      <w:pPr>
        <w:tabs>
          <w:tab w:val="left" w:pos="630"/>
        </w:tabs>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根据编制要求和磋商文件要求</w:t>
      </w:r>
      <w:r>
        <w:rPr>
          <w:rFonts w:hint="eastAsia" w:ascii="宋体" w:hAnsi="宋体" w:eastAsia="宋体" w:cs="宋体"/>
          <w:color w:val="auto"/>
          <w:sz w:val="24"/>
          <w:szCs w:val="24"/>
          <w:highlight w:val="none"/>
        </w:rPr>
        <w:t>自拟）</w:t>
      </w:r>
    </w:p>
    <w:p>
      <w:pPr>
        <w:spacing w:line="420" w:lineRule="exact"/>
        <w:jc w:val="center"/>
        <w:outlineLvl w:val="1"/>
        <w:rPr>
          <w:rFonts w:hint="eastAsia" w:ascii="宋体" w:hAnsi="宋体" w:eastAsia="宋体" w:cs="宋体"/>
          <w:b/>
          <w:bCs/>
          <w:color w:val="auto"/>
          <w:sz w:val="32"/>
          <w:szCs w:val="32"/>
          <w:highlight w:val="none"/>
          <w:lang w:val="en-US" w:eastAsia="zh-CN"/>
        </w:rPr>
      </w:pPr>
    </w:p>
    <w:p>
      <w:pPr>
        <w:spacing w:line="42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7.2</w:t>
      </w:r>
      <w:r>
        <w:rPr>
          <w:rFonts w:hint="eastAsia" w:ascii="宋体" w:hAnsi="宋体" w:eastAsia="宋体" w:cs="宋体"/>
          <w:b/>
          <w:bCs/>
          <w:color w:val="auto"/>
          <w:sz w:val="32"/>
          <w:szCs w:val="32"/>
          <w:highlight w:val="none"/>
        </w:rPr>
        <w:t>针对本项目服务需求作出响应承诺</w:t>
      </w:r>
    </w:p>
    <w:p>
      <w:pPr>
        <w:ind w:left="495"/>
        <w:rPr>
          <w:rFonts w:hint="eastAsia" w:ascii="宋体" w:hAnsi="宋体" w:eastAsia="宋体" w:cs="宋体"/>
          <w:color w:val="auto"/>
          <w:highlight w:val="none"/>
        </w:rPr>
      </w:pPr>
    </w:p>
    <w:p>
      <w:pPr>
        <w:tabs>
          <w:tab w:val="left" w:pos="630"/>
        </w:tabs>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pPr>
        <w:tabs>
          <w:tab w:val="left" w:pos="1815"/>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numPr>
          <w:ilvl w:val="0"/>
          <w:numId w:val="1"/>
        </w:numPr>
        <w:autoSpaceDE w:val="0"/>
        <w:autoSpaceDN w:val="0"/>
        <w:adjustRightInd w:val="0"/>
        <w:jc w:val="center"/>
        <w:outlineLvl w:val="1"/>
        <w:rPr>
          <w:rFonts w:hint="eastAsia" w:ascii="宋体" w:hAnsi="宋体" w:eastAsia="宋体" w:cs="宋体"/>
          <w:b/>
          <w:bCs/>
          <w:color w:val="auto"/>
          <w:sz w:val="32"/>
          <w:szCs w:val="32"/>
          <w:highlight w:val="none"/>
        </w:rPr>
      </w:pPr>
      <w:bookmarkStart w:id="261" w:name="_Toc16688_WPSOffice_Level1"/>
      <w:r>
        <w:rPr>
          <w:rFonts w:hint="eastAsia" w:ascii="宋体" w:hAnsi="宋体" w:eastAsia="宋体" w:cs="宋体"/>
          <w:b/>
          <w:bCs/>
          <w:color w:val="auto"/>
          <w:sz w:val="32"/>
          <w:szCs w:val="32"/>
          <w:highlight w:val="none"/>
          <w:lang w:eastAsia="zh-CN"/>
        </w:rPr>
        <w:t>拟任</w:t>
      </w:r>
      <w:r>
        <w:rPr>
          <w:rFonts w:hint="eastAsia" w:ascii="宋体" w:hAnsi="宋体" w:eastAsia="宋体" w:cs="宋体"/>
          <w:b/>
          <w:bCs/>
          <w:color w:val="auto"/>
          <w:sz w:val="32"/>
          <w:szCs w:val="32"/>
          <w:highlight w:val="none"/>
        </w:rPr>
        <w:t>课题组主要成员</w:t>
      </w:r>
      <w:bookmarkEnd w:id="261"/>
    </w:p>
    <w:p>
      <w:pPr>
        <w:spacing w:line="420" w:lineRule="exact"/>
        <w:jc w:val="center"/>
        <w:outlineLvl w:val="1"/>
        <w:rPr>
          <w:rFonts w:hint="eastAsia" w:ascii="宋体" w:hAnsi="宋体" w:eastAsia="宋体" w:cs="宋体"/>
          <w:b/>
          <w:bCs/>
          <w:color w:val="auto"/>
          <w:sz w:val="32"/>
          <w:szCs w:val="32"/>
          <w:highlight w:val="none"/>
          <w:lang w:val="en-US" w:eastAsia="zh-CN"/>
        </w:rPr>
      </w:pPr>
    </w:p>
    <w:p>
      <w:pPr>
        <w:spacing w:line="420" w:lineRule="exact"/>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8.1</w:t>
      </w:r>
      <w:r>
        <w:rPr>
          <w:rFonts w:hint="eastAsia" w:ascii="宋体" w:hAnsi="宋体" w:eastAsia="宋体" w:cs="宋体"/>
          <w:b/>
          <w:bCs/>
          <w:color w:val="auto"/>
          <w:sz w:val="32"/>
          <w:szCs w:val="32"/>
          <w:highlight w:val="none"/>
          <w:lang w:eastAsia="zh-CN"/>
        </w:rPr>
        <w:t>拟任</w:t>
      </w:r>
      <w:r>
        <w:rPr>
          <w:rFonts w:hint="eastAsia" w:ascii="宋体" w:hAnsi="宋体" w:eastAsia="宋体" w:cs="宋体"/>
          <w:b/>
          <w:bCs/>
          <w:color w:val="auto"/>
          <w:sz w:val="32"/>
          <w:szCs w:val="32"/>
          <w:highlight w:val="none"/>
        </w:rPr>
        <w:t>课题组</w:t>
      </w:r>
      <w:r>
        <w:rPr>
          <w:rFonts w:hint="eastAsia" w:ascii="宋体" w:hAnsi="宋体" w:eastAsia="宋体" w:cs="宋体"/>
          <w:b/>
          <w:bCs/>
          <w:color w:val="auto"/>
          <w:sz w:val="32"/>
          <w:szCs w:val="32"/>
          <w:highlight w:val="none"/>
          <w:lang w:eastAsia="zh-CN"/>
        </w:rPr>
        <w:t>成员基本情况表</w:t>
      </w:r>
    </w:p>
    <w:p>
      <w:pPr>
        <w:adjustRightInd w:val="0"/>
        <w:snapToGrid w:val="0"/>
        <w:spacing w:line="360" w:lineRule="auto"/>
        <w:rPr>
          <w:b/>
          <w:bCs/>
          <w:color w:val="auto"/>
          <w:sz w:val="24"/>
        </w:rPr>
      </w:pPr>
    </w:p>
    <w:tbl>
      <w:tblPr>
        <w:tblStyle w:val="17"/>
        <w:tblW w:w="8618" w:type="dxa"/>
        <w:jc w:val="center"/>
        <w:tblInd w:w="-91" w:type="dxa"/>
        <w:tblLayout w:type="fixed"/>
        <w:tblCellMar>
          <w:top w:w="57" w:type="dxa"/>
          <w:left w:w="57" w:type="dxa"/>
          <w:bottom w:w="57" w:type="dxa"/>
          <w:right w:w="57" w:type="dxa"/>
        </w:tblCellMar>
      </w:tblPr>
      <w:tblGrid>
        <w:gridCol w:w="714"/>
        <w:gridCol w:w="1069"/>
        <w:gridCol w:w="404"/>
        <w:gridCol w:w="202"/>
        <w:gridCol w:w="614"/>
        <w:gridCol w:w="597"/>
        <w:gridCol w:w="146"/>
        <w:gridCol w:w="425"/>
        <w:gridCol w:w="368"/>
        <w:gridCol w:w="199"/>
        <w:gridCol w:w="563"/>
        <w:gridCol w:w="571"/>
        <w:gridCol w:w="284"/>
        <w:gridCol w:w="567"/>
        <w:gridCol w:w="283"/>
        <w:gridCol w:w="567"/>
        <w:gridCol w:w="1045"/>
      </w:tblGrid>
      <w:tr>
        <w:tblPrEx>
          <w:tblLayout w:type="fixed"/>
          <w:tblCellMar>
            <w:top w:w="57" w:type="dxa"/>
            <w:left w:w="57" w:type="dxa"/>
            <w:bottom w:w="57" w:type="dxa"/>
            <w:right w:w="57" w:type="dxa"/>
          </w:tblCellMar>
        </w:tblPrEx>
        <w:trPr>
          <w:trHeight w:val="582" w:hRule="atLeast"/>
          <w:jc w:val="center"/>
        </w:trPr>
        <w:tc>
          <w:tcPr>
            <w:tcW w:w="714" w:type="dxa"/>
            <w:vMerge w:val="restart"/>
            <w:tcBorders>
              <w:top w:val="single" w:color="auto" w:sz="6" w:space="0"/>
              <w:left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课</w:t>
            </w:r>
          </w:p>
          <w:p>
            <w:pPr>
              <w:autoSpaceDE w:val="0"/>
              <w:autoSpaceDN w:val="0"/>
              <w:adjustRightInd w:val="0"/>
              <w:jc w:val="distribute"/>
              <w:rPr>
                <w:color w:val="auto"/>
                <w:kern w:val="0"/>
                <w:sz w:val="24"/>
                <w:szCs w:val="24"/>
              </w:rPr>
            </w:pPr>
            <w:r>
              <w:rPr>
                <w:rFonts w:hint="eastAsia"/>
                <w:color w:val="auto"/>
                <w:kern w:val="0"/>
                <w:sz w:val="24"/>
                <w:szCs w:val="24"/>
              </w:rPr>
              <w:t>题</w:t>
            </w:r>
          </w:p>
          <w:p>
            <w:pPr>
              <w:autoSpaceDE w:val="0"/>
              <w:autoSpaceDN w:val="0"/>
              <w:adjustRightInd w:val="0"/>
              <w:jc w:val="distribute"/>
              <w:rPr>
                <w:color w:val="auto"/>
                <w:kern w:val="0"/>
                <w:sz w:val="24"/>
                <w:szCs w:val="24"/>
              </w:rPr>
            </w:pPr>
            <w:r>
              <w:rPr>
                <w:rFonts w:hint="eastAsia"/>
                <w:color w:val="auto"/>
                <w:kern w:val="0"/>
                <w:sz w:val="24"/>
                <w:szCs w:val="24"/>
              </w:rPr>
              <w:t>负</w:t>
            </w:r>
          </w:p>
          <w:p>
            <w:pPr>
              <w:autoSpaceDE w:val="0"/>
              <w:autoSpaceDN w:val="0"/>
              <w:adjustRightInd w:val="0"/>
              <w:jc w:val="distribute"/>
              <w:rPr>
                <w:color w:val="auto"/>
                <w:kern w:val="0"/>
                <w:sz w:val="24"/>
                <w:szCs w:val="24"/>
              </w:rPr>
            </w:pPr>
            <w:r>
              <w:rPr>
                <w:rFonts w:hint="eastAsia"/>
                <w:color w:val="auto"/>
                <w:kern w:val="0"/>
                <w:sz w:val="24"/>
                <w:szCs w:val="24"/>
              </w:rPr>
              <w:t>责</w:t>
            </w:r>
          </w:p>
          <w:p>
            <w:pPr>
              <w:autoSpaceDE w:val="0"/>
              <w:autoSpaceDN w:val="0"/>
              <w:adjustRightInd w:val="0"/>
              <w:jc w:val="distribute"/>
              <w:rPr>
                <w:color w:val="auto"/>
                <w:kern w:val="0"/>
                <w:sz w:val="24"/>
                <w:szCs w:val="24"/>
              </w:rPr>
            </w:pPr>
            <w:r>
              <w:rPr>
                <w:rFonts w:hint="eastAsia"/>
                <w:color w:val="auto"/>
                <w:kern w:val="0"/>
                <w:sz w:val="24"/>
                <w:szCs w:val="24"/>
              </w:rPr>
              <w:t>人</w:t>
            </w:r>
          </w:p>
        </w:tc>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姓名</w:t>
            </w:r>
          </w:p>
        </w:tc>
        <w:tc>
          <w:tcPr>
            <w:tcW w:w="141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b/>
                <w:color w:val="auto"/>
                <w:kern w:val="0"/>
                <w:sz w:val="24"/>
                <w:szCs w:val="24"/>
              </w:rPr>
            </w:pPr>
          </w:p>
        </w:tc>
        <w:tc>
          <w:tcPr>
            <w:tcW w:w="57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性别</w:t>
            </w:r>
          </w:p>
        </w:tc>
        <w:tc>
          <w:tcPr>
            <w:tcW w:w="113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c>
          <w:tcPr>
            <w:tcW w:w="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年龄</w:t>
            </w:r>
          </w:p>
        </w:tc>
        <w:tc>
          <w:tcPr>
            <w:tcW w:w="113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auto"/>
                <w:kern w:val="0"/>
                <w:sz w:val="24"/>
                <w:szCs w:val="24"/>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学历</w:t>
            </w:r>
          </w:p>
        </w:tc>
        <w:tc>
          <w:tcPr>
            <w:tcW w:w="10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r>
      <w:tr>
        <w:tblPrEx>
          <w:tblLayout w:type="fixed"/>
          <w:tblCellMar>
            <w:top w:w="57" w:type="dxa"/>
            <w:left w:w="57" w:type="dxa"/>
            <w:bottom w:w="57" w:type="dxa"/>
            <w:right w:w="57" w:type="dxa"/>
          </w:tblCellMar>
        </w:tblPrEx>
        <w:trPr>
          <w:trHeight w:val="490" w:hRule="atLeas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distribute"/>
              <w:rPr>
                <w:color w:val="auto"/>
                <w:kern w:val="0"/>
                <w:sz w:val="24"/>
                <w:szCs w:val="24"/>
              </w:rPr>
            </w:pPr>
          </w:p>
        </w:tc>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职务</w:t>
            </w:r>
          </w:p>
        </w:tc>
        <w:tc>
          <w:tcPr>
            <w:tcW w:w="255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专业职称</w:t>
            </w:r>
          </w:p>
        </w:tc>
        <w:tc>
          <w:tcPr>
            <w:tcW w:w="246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r>
      <w:tr>
        <w:tblPrEx>
          <w:tblLayout w:type="fixed"/>
          <w:tblCellMar>
            <w:top w:w="57" w:type="dxa"/>
            <w:left w:w="57" w:type="dxa"/>
            <w:bottom w:w="57" w:type="dxa"/>
            <w:right w:w="57" w:type="dxa"/>
          </w:tblCellMar>
        </w:tblPrEx>
        <w:trPr>
          <w:cantSplit/>
          <w:trHeight w:val="469" w:hRule="atLeas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工作单位</w:t>
            </w:r>
          </w:p>
        </w:tc>
        <w:tc>
          <w:tcPr>
            <w:tcW w:w="255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研究专长</w:t>
            </w:r>
          </w:p>
        </w:tc>
        <w:tc>
          <w:tcPr>
            <w:tcW w:w="246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r>
      <w:tr>
        <w:tblPrEx>
          <w:tblLayout w:type="fixed"/>
          <w:tblCellMar>
            <w:top w:w="57" w:type="dxa"/>
            <w:left w:w="57" w:type="dxa"/>
            <w:bottom w:w="57" w:type="dxa"/>
            <w:right w:w="57" w:type="dxa"/>
          </w:tblCellMar>
        </w:tblPrEx>
        <w:trPr>
          <w:trHeight w:val="469" w:hRule="atLeas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distribute"/>
              <w:rPr>
                <w:color w:val="auto"/>
                <w:kern w:val="0"/>
                <w:sz w:val="24"/>
                <w:szCs w:val="24"/>
              </w:rPr>
            </w:pPr>
          </w:p>
        </w:tc>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通讯地址</w:t>
            </w:r>
          </w:p>
        </w:tc>
        <w:tc>
          <w:tcPr>
            <w:tcW w:w="3969"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auto"/>
                <w:kern w:val="0"/>
                <w:sz w:val="24"/>
                <w:szCs w:val="24"/>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邮编</w:t>
            </w:r>
          </w:p>
        </w:tc>
        <w:tc>
          <w:tcPr>
            <w:tcW w:w="16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r>
      <w:tr>
        <w:tblPrEx>
          <w:tblLayout w:type="fixed"/>
          <w:tblCellMar>
            <w:top w:w="57" w:type="dxa"/>
            <w:left w:w="57" w:type="dxa"/>
            <w:bottom w:w="57" w:type="dxa"/>
            <w:right w:w="57" w:type="dxa"/>
          </w:tblCellMar>
        </w:tblPrEx>
        <w:trPr>
          <w:trHeight w:val="706" w:hRule="atLeas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distribute"/>
              <w:rPr>
                <w:color w:val="auto"/>
                <w:kern w:val="0"/>
                <w:sz w:val="24"/>
                <w:szCs w:val="24"/>
              </w:rPr>
            </w:pPr>
          </w:p>
        </w:tc>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联系电话</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c>
          <w:tcPr>
            <w:tcW w:w="7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手机</w:t>
            </w:r>
          </w:p>
        </w:tc>
        <w:tc>
          <w:tcPr>
            <w:tcW w:w="1617"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传真</w:t>
            </w:r>
          </w:p>
        </w:tc>
        <w:tc>
          <w:tcPr>
            <w:tcW w:w="16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auto"/>
                <w:kern w:val="0"/>
                <w:sz w:val="24"/>
                <w:szCs w:val="24"/>
              </w:rPr>
            </w:pPr>
          </w:p>
        </w:tc>
      </w:tr>
      <w:tr>
        <w:tblPrEx>
          <w:tblLayout w:type="fixed"/>
          <w:tblCellMar>
            <w:top w:w="57" w:type="dxa"/>
            <w:left w:w="57" w:type="dxa"/>
            <w:bottom w:w="57" w:type="dxa"/>
            <w:right w:w="57" w:type="dxa"/>
          </w:tblCellMar>
        </w:tblPrEx>
        <w:trPr>
          <w:cantSplit/>
          <w:trHeight w:val="551" w:hRule="atLeast"/>
          <w:jc w:val="center"/>
        </w:trPr>
        <w:tc>
          <w:tcPr>
            <w:tcW w:w="714" w:type="dxa"/>
            <w:vMerge w:val="continue"/>
            <w:tcBorders>
              <w:left w:val="single" w:color="auto" w:sz="6" w:space="0"/>
              <w:bottom w:val="nil"/>
              <w:right w:val="single" w:color="auto" w:sz="6" w:space="0"/>
            </w:tcBorders>
            <w:vAlign w:val="center"/>
          </w:tcPr>
          <w:p>
            <w:pPr>
              <w:autoSpaceDE w:val="0"/>
              <w:autoSpaceDN w:val="0"/>
              <w:adjustRightInd w:val="0"/>
              <w:rPr>
                <w:color w:val="auto"/>
                <w:kern w:val="0"/>
                <w:sz w:val="24"/>
                <w:szCs w:val="24"/>
              </w:rPr>
            </w:pPr>
          </w:p>
        </w:tc>
        <w:tc>
          <w:tcPr>
            <w:tcW w:w="1473"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distribute"/>
              <w:rPr>
                <w:color w:val="auto"/>
                <w:kern w:val="0"/>
                <w:sz w:val="24"/>
                <w:szCs w:val="24"/>
              </w:rPr>
            </w:pPr>
            <w:r>
              <w:rPr>
                <w:rFonts w:hint="eastAsia"/>
                <w:color w:val="auto"/>
                <w:kern w:val="0"/>
                <w:sz w:val="24"/>
                <w:szCs w:val="24"/>
              </w:rPr>
              <w:t>电子邮箱</w:t>
            </w:r>
          </w:p>
        </w:tc>
        <w:tc>
          <w:tcPr>
            <w:tcW w:w="6431" w:type="dxa"/>
            <w:gridSpan w:val="14"/>
            <w:tcBorders>
              <w:top w:val="single" w:color="auto" w:sz="6" w:space="0"/>
              <w:left w:val="single" w:color="auto" w:sz="6" w:space="0"/>
              <w:bottom w:val="nil"/>
              <w:right w:val="single" w:color="auto" w:sz="6" w:space="0"/>
            </w:tcBorders>
            <w:vAlign w:val="center"/>
          </w:tcPr>
          <w:p>
            <w:pPr>
              <w:autoSpaceDE w:val="0"/>
              <w:autoSpaceDN w:val="0"/>
              <w:adjustRightInd w:val="0"/>
              <w:rPr>
                <w:rFonts w:eastAsia="楷体_GB2312"/>
                <w:color w:val="auto"/>
                <w:kern w:val="0"/>
                <w:sz w:val="24"/>
                <w:szCs w:val="24"/>
              </w:rPr>
            </w:pPr>
          </w:p>
        </w:tc>
      </w:tr>
      <w:tr>
        <w:tblPrEx>
          <w:tblLayout w:type="fixed"/>
          <w:tblCellMar>
            <w:top w:w="57" w:type="dxa"/>
            <w:left w:w="57" w:type="dxa"/>
            <w:bottom w:w="57" w:type="dxa"/>
            <w:right w:w="57" w:type="dxa"/>
          </w:tblCellMar>
        </w:tblPrEx>
        <w:trPr>
          <w:cantSplit/>
          <w:trHeight w:val="529" w:hRule="atLeast"/>
          <w:jc w:val="center"/>
        </w:trPr>
        <w:tc>
          <w:tcPr>
            <w:tcW w:w="714"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课</w:t>
            </w:r>
          </w:p>
          <w:p>
            <w:pPr>
              <w:autoSpaceDE w:val="0"/>
              <w:autoSpaceDN w:val="0"/>
              <w:adjustRightInd w:val="0"/>
              <w:jc w:val="center"/>
              <w:rPr>
                <w:color w:val="auto"/>
                <w:kern w:val="0"/>
                <w:sz w:val="24"/>
                <w:szCs w:val="24"/>
              </w:rPr>
            </w:pPr>
            <w:r>
              <w:rPr>
                <w:rFonts w:hint="eastAsia"/>
                <w:color w:val="auto"/>
                <w:kern w:val="0"/>
                <w:sz w:val="24"/>
                <w:szCs w:val="24"/>
              </w:rPr>
              <w:t>题</w:t>
            </w:r>
          </w:p>
          <w:p>
            <w:pPr>
              <w:autoSpaceDE w:val="0"/>
              <w:autoSpaceDN w:val="0"/>
              <w:adjustRightInd w:val="0"/>
              <w:jc w:val="center"/>
              <w:rPr>
                <w:color w:val="auto"/>
                <w:kern w:val="0"/>
                <w:sz w:val="24"/>
                <w:szCs w:val="24"/>
              </w:rPr>
            </w:pPr>
            <w:r>
              <w:rPr>
                <w:rFonts w:hint="eastAsia"/>
                <w:color w:val="auto"/>
                <w:kern w:val="0"/>
                <w:sz w:val="24"/>
                <w:szCs w:val="24"/>
              </w:rPr>
              <w:t>组</w:t>
            </w:r>
          </w:p>
          <w:p>
            <w:pPr>
              <w:autoSpaceDE w:val="0"/>
              <w:autoSpaceDN w:val="0"/>
              <w:adjustRightInd w:val="0"/>
              <w:jc w:val="center"/>
              <w:rPr>
                <w:color w:val="auto"/>
                <w:kern w:val="0"/>
                <w:sz w:val="24"/>
                <w:szCs w:val="24"/>
              </w:rPr>
            </w:pPr>
            <w:r>
              <w:rPr>
                <w:rFonts w:hint="eastAsia"/>
                <w:color w:val="auto"/>
                <w:kern w:val="0"/>
                <w:sz w:val="24"/>
                <w:szCs w:val="24"/>
              </w:rPr>
              <w:t>主</w:t>
            </w:r>
          </w:p>
          <w:p>
            <w:pPr>
              <w:autoSpaceDE w:val="0"/>
              <w:autoSpaceDN w:val="0"/>
              <w:adjustRightInd w:val="0"/>
              <w:jc w:val="center"/>
              <w:rPr>
                <w:color w:val="auto"/>
                <w:kern w:val="0"/>
                <w:sz w:val="24"/>
                <w:szCs w:val="24"/>
              </w:rPr>
            </w:pPr>
            <w:r>
              <w:rPr>
                <w:rFonts w:hint="eastAsia"/>
                <w:color w:val="auto"/>
                <w:kern w:val="0"/>
                <w:sz w:val="24"/>
                <w:szCs w:val="24"/>
              </w:rPr>
              <w:t>要</w:t>
            </w:r>
          </w:p>
          <w:p>
            <w:pPr>
              <w:autoSpaceDE w:val="0"/>
              <w:autoSpaceDN w:val="0"/>
              <w:adjustRightInd w:val="0"/>
              <w:jc w:val="center"/>
              <w:rPr>
                <w:color w:val="auto"/>
                <w:kern w:val="0"/>
                <w:sz w:val="24"/>
                <w:szCs w:val="24"/>
              </w:rPr>
            </w:pPr>
            <w:r>
              <w:rPr>
                <w:rFonts w:hint="eastAsia"/>
                <w:color w:val="auto"/>
                <w:kern w:val="0"/>
                <w:sz w:val="24"/>
                <w:szCs w:val="24"/>
              </w:rPr>
              <w:t>成</w:t>
            </w:r>
          </w:p>
          <w:p>
            <w:pPr>
              <w:autoSpaceDE w:val="0"/>
              <w:autoSpaceDN w:val="0"/>
              <w:adjustRightInd w:val="0"/>
              <w:jc w:val="center"/>
              <w:rPr>
                <w:color w:val="auto"/>
                <w:kern w:val="0"/>
                <w:sz w:val="24"/>
                <w:szCs w:val="24"/>
              </w:rPr>
            </w:pPr>
            <w:r>
              <w:rPr>
                <w:rFonts w:hint="eastAsia"/>
                <w:color w:val="auto"/>
                <w:kern w:val="0"/>
                <w:sz w:val="24"/>
                <w:szCs w:val="24"/>
              </w:rPr>
              <w:t>员</w:t>
            </w:r>
          </w:p>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姓</w:t>
            </w:r>
            <w:r>
              <w:rPr>
                <w:color w:val="auto"/>
                <w:kern w:val="0"/>
                <w:sz w:val="24"/>
                <w:szCs w:val="24"/>
              </w:rPr>
              <w:t xml:space="preserve"> </w:t>
            </w:r>
            <w:r>
              <w:rPr>
                <w:rFonts w:hint="eastAsia"/>
                <w:color w:val="auto"/>
                <w:kern w:val="0"/>
                <w:sz w:val="24"/>
                <w:szCs w:val="24"/>
              </w:rPr>
              <w:t>名</w:t>
            </w:r>
          </w:p>
        </w:tc>
        <w:tc>
          <w:tcPr>
            <w:tcW w:w="6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性</w:t>
            </w:r>
          </w:p>
          <w:p>
            <w:pPr>
              <w:autoSpaceDE w:val="0"/>
              <w:autoSpaceDN w:val="0"/>
              <w:adjustRightInd w:val="0"/>
              <w:jc w:val="center"/>
              <w:rPr>
                <w:color w:val="auto"/>
                <w:kern w:val="0"/>
                <w:sz w:val="24"/>
                <w:szCs w:val="24"/>
              </w:rPr>
            </w:pPr>
            <w:r>
              <w:rPr>
                <w:rFonts w:hint="eastAsia"/>
                <w:color w:val="auto"/>
                <w:kern w:val="0"/>
                <w:sz w:val="24"/>
                <w:szCs w:val="24"/>
              </w:rPr>
              <w:t>别</w:t>
            </w:r>
          </w:p>
        </w:tc>
        <w:tc>
          <w:tcPr>
            <w:tcW w:w="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年</w:t>
            </w:r>
          </w:p>
          <w:p>
            <w:pPr>
              <w:autoSpaceDE w:val="0"/>
              <w:autoSpaceDN w:val="0"/>
              <w:adjustRightInd w:val="0"/>
              <w:jc w:val="center"/>
              <w:rPr>
                <w:color w:val="auto"/>
                <w:kern w:val="0"/>
                <w:sz w:val="24"/>
                <w:szCs w:val="24"/>
              </w:rPr>
            </w:pPr>
            <w:r>
              <w:rPr>
                <w:rFonts w:hint="eastAsia"/>
                <w:color w:val="auto"/>
                <w:kern w:val="0"/>
                <w:sz w:val="24"/>
                <w:szCs w:val="24"/>
              </w:rPr>
              <w:t>龄</w:t>
            </w:r>
          </w:p>
        </w:tc>
        <w:tc>
          <w:tcPr>
            <w:tcW w:w="1536"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专业职称</w:t>
            </w:r>
          </w:p>
        </w:tc>
        <w:tc>
          <w:tcPr>
            <w:tcW w:w="133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研究专长</w:t>
            </w:r>
          </w:p>
        </w:tc>
        <w:tc>
          <w:tcPr>
            <w:tcW w:w="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学</w:t>
            </w:r>
            <w:r>
              <w:rPr>
                <w:color w:val="auto"/>
                <w:kern w:val="0"/>
                <w:sz w:val="24"/>
                <w:szCs w:val="24"/>
              </w:rPr>
              <w:t xml:space="preserve"> </w:t>
            </w:r>
            <w:r>
              <w:rPr>
                <w:rFonts w:hint="eastAsia"/>
                <w:color w:val="auto"/>
                <w:kern w:val="0"/>
                <w:sz w:val="24"/>
                <w:szCs w:val="24"/>
              </w:rPr>
              <w:t>历</w:t>
            </w:r>
          </w:p>
        </w:tc>
        <w:tc>
          <w:tcPr>
            <w:tcW w:w="189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r>
              <w:rPr>
                <w:rFonts w:hint="eastAsia"/>
                <w:color w:val="auto"/>
                <w:kern w:val="0"/>
                <w:sz w:val="24"/>
                <w:szCs w:val="24"/>
              </w:rPr>
              <w:t>工</w:t>
            </w:r>
            <w:r>
              <w:rPr>
                <w:color w:val="auto"/>
                <w:kern w:val="0"/>
                <w:sz w:val="24"/>
                <w:szCs w:val="24"/>
              </w:rPr>
              <w:t xml:space="preserve"> </w:t>
            </w:r>
            <w:r>
              <w:rPr>
                <w:rFonts w:hint="eastAsia"/>
                <w:color w:val="auto"/>
                <w:kern w:val="0"/>
                <w:sz w:val="24"/>
                <w:szCs w:val="24"/>
              </w:rPr>
              <w:t>作</w:t>
            </w:r>
            <w:r>
              <w:rPr>
                <w:color w:val="auto"/>
                <w:kern w:val="0"/>
                <w:sz w:val="24"/>
                <w:szCs w:val="24"/>
              </w:rPr>
              <w:t xml:space="preserve"> </w:t>
            </w:r>
            <w:r>
              <w:rPr>
                <w:rFonts w:hint="eastAsia"/>
                <w:color w:val="auto"/>
                <w:kern w:val="0"/>
                <w:sz w:val="24"/>
                <w:szCs w:val="24"/>
              </w:rPr>
              <w:t>单</w:t>
            </w:r>
            <w:r>
              <w:rPr>
                <w:color w:val="auto"/>
                <w:kern w:val="0"/>
                <w:sz w:val="24"/>
                <w:szCs w:val="24"/>
              </w:rPr>
              <w:t xml:space="preserve"> </w:t>
            </w:r>
            <w:r>
              <w:rPr>
                <w:rFonts w:hint="eastAsia"/>
                <w:color w:val="auto"/>
                <w:kern w:val="0"/>
                <w:sz w:val="24"/>
                <w:szCs w:val="24"/>
              </w:rPr>
              <w:t>位</w:t>
            </w: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rPr>
                <w:rFonts w:eastAsia="楷体_GB2312"/>
                <w:bCs/>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rPr>
                <w:rFonts w:eastAsia="楷体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rPr>
                <w:rFonts w:eastAsia="楷体_GB2312"/>
                <w:bCs/>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楷体_GB2312"/>
                <w:bCs/>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楷体_GB2312"/>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p>
        </w:tc>
      </w:tr>
      <w:tr>
        <w:tblPrEx>
          <w:tblLayout w:type="fixed"/>
          <w:tblCellMar>
            <w:top w:w="57" w:type="dxa"/>
            <w:left w:w="57" w:type="dxa"/>
            <w:bottom w:w="57" w:type="dxa"/>
            <w:right w:w="57" w:type="dxa"/>
          </w:tblCellMar>
        </w:tblPrEx>
        <w:trPr>
          <w:cantSplit/>
          <w:trHeight w:val="907" w:hRule="exact"/>
          <w:jc w:val="center"/>
        </w:trPr>
        <w:tc>
          <w:tcPr>
            <w:tcW w:w="714"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 w:val="24"/>
                <w:szCs w:val="24"/>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szCs w:val="24"/>
              </w:rPr>
            </w:pPr>
          </w:p>
        </w:tc>
        <w:tc>
          <w:tcPr>
            <w:tcW w:w="606" w:type="dxa"/>
            <w:gridSpan w:val="2"/>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614" w:type="dxa"/>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1536" w:type="dxa"/>
            <w:gridSpan w:val="4"/>
            <w:tcBorders>
              <w:top w:val="single" w:color="auto" w:sz="6" w:space="0"/>
              <w:left w:val="single" w:color="auto" w:sz="6" w:space="0"/>
              <w:bottom w:val="single" w:color="auto" w:sz="6" w:space="0"/>
              <w:right w:val="single" w:color="auto" w:sz="6" w:space="0"/>
            </w:tcBorders>
            <w:vAlign w:val="center"/>
          </w:tcPr>
          <w:p>
            <w:pPr>
              <w:jc w:val="center"/>
              <w:rPr>
                <w:color w:val="auto"/>
                <w:sz w:val="24"/>
                <w:szCs w:val="24"/>
              </w:rPr>
            </w:pPr>
          </w:p>
        </w:tc>
        <w:tc>
          <w:tcPr>
            <w:tcW w:w="1333"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bCs/>
                <w:color w:val="auto"/>
                <w:sz w:val="24"/>
                <w:szCs w:val="24"/>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rPr>
                <w:color w:val="auto"/>
                <w:sz w:val="24"/>
                <w:szCs w:val="24"/>
              </w:rPr>
            </w:pPr>
          </w:p>
        </w:tc>
        <w:tc>
          <w:tcPr>
            <w:tcW w:w="1895"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p>
        </w:tc>
      </w:tr>
    </w:tbl>
    <w:p>
      <w:pPr>
        <w:tabs>
          <w:tab w:val="left" w:pos="1815"/>
        </w:tabs>
        <w:jc w:val="center"/>
        <w:rPr>
          <w:rFonts w:hint="eastAsia" w:ascii="宋体" w:hAnsi="宋体" w:eastAsia="宋体" w:cs="宋体"/>
          <w:b/>
          <w:bCs/>
          <w:color w:val="auto"/>
          <w:sz w:val="24"/>
          <w:szCs w:val="24"/>
          <w:highlight w:val="none"/>
        </w:rPr>
      </w:pPr>
    </w:p>
    <w:p>
      <w:pPr>
        <w:spacing w:line="420" w:lineRule="exact"/>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8.2</w:t>
      </w:r>
      <w:r>
        <w:rPr>
          <w:rFonts w:hint="eastAsia" w:ascii="宋体" w:hAnsi="宋体" w:eastAsia="宋体" w:cs="宋体"/>
          <w:b/>
          <w:bCs/>
          <w:color w:val="auto"/>
          <w:sz w:val="32"/>
          <w:szCs w:val="32"/>
          <w:highlight w:val="none"/>
          <w:lang w:eastAsia="zh-CN"/>
        </w:rPr>
        <w:t>课题负责人和主要成员近三年相关研究成果</w:t>
      </w:r>
    </w:p>
    <w:p>
      <w:pPr>
        <w:rPr>
          <w:color w:val="auto"/>
        </w:rPr>
      </w:pPr>
    </w:p>
    <w:tbl>
      <w:tblPr>
        <w:tblStyle w:val="17"/>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900"/>
        <w:gridCol w:w="1440"/>
        <w:gridCol w:w="198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vAlign w:val="center"/>
          </w:tcPr>
          <w:p>
            <w:pPr>
              <w:spacing w:line="480" w:lineRule="auto"/>
              <w:jc w:val="center"/>
              <w:rPr>
                <w:rFonts w:ascii="宋体"/>
                <w:bCs/>
                <w:color w:val="auto"/>
                <w:sz w:val="24"/>
              </w:rPr>
            </w:pPr>
            <w:r>
              <w:rPr>
                <w:rFonts w:hint="eastAsia" w:ascii="宋体" w:hAnsi="宋体"/>
                <w:bCs/>
                <w:color w:val="auto"/>
                <w:kern w:val="0"/>
                <w:sz w:val="24"/>
              </w:rPr>
              <w:t>成</w:t>
            </w:r>
            <w:r>
              <w:rPr>
                <w:rFonts w:ascii="宋体" w:hAnsi="宋体"/>
                <w:bCs/>
                <w:color w:val="auto"/>
                <w:kern w:val="0"/>
                <w:sz w:val="24"/>
              </w:rPr>
              <w:t xml:space="preserve"> </w:t>
            </w:r>
            <w:r>
              <w:rPr>
                <w:rFonts w:hint="eastAsia" w:ascii="宋体" w:hAnsi="宋体"/>
                <w:bCs/>
                <w:color w:val="auto"/>
                <w:kern w:val="0"/>
                <w:sz w:val="24"/>
              </w:rPr>
              <w:t>果</w:t>
            </w:r>
            <w:r>
              <w:rPr>
                <w:rFonts w:ascii="宋体" w:hAnsi="宋体"/>
                <w:bCs/>
                <w:color w:val="auto"/>
                <w:kern w:val="0"/>
                <w:sz w:val="24"/>
              </w:rPr>
              <w:t xml:space="preserve"> </w:t>
            </w:r>
            <w:r>
              <w:rPr>
                <w:rFonts w:hint="eastAsia" w:ascii="宋体" w:hAnsi="宋体"/>
                <w:bCs/>
                <w:color w:val="auto"/>
                <w:kern w:val="0"/>
                <w:sz w:val="24"/>
              </w:rPr>
              <w:t>名</w:t>
            </w:r>
            <w:r>
              <w:rPr>
                <w:rFonts w:ascii="宋体" w:hAnsi="宋体"/>
                <w:bCs/>
                <w:color w:val="auto"/>
                <w:kern w:val="0"/>
                <w:sz w:val="24"/>
              </w:rPr>
              <w:t xml:space="preserve"> </w:t>
            </w:r>
            <w:r>
              <w:rPr>
                <w:rFonts w:hint="eastAsia" w:ascii="宋体" w:hAnsi="宋体"/>
                <w:bCs/>
                <w:color w:val="auto"/>
                <w:kern w:val="0"/>
                <w:sz w:val="24"/>
              </w:rPr>
              <w:t>称</w:t>
            </w:r>
          </w:p>
        </w:tc>
        <w:tc>
          <w:tcPr>
            <w:tcW w:w="900" w:type="dxa"/>
            <w:vAlign w:val="center"/>
          </w:tcPr>
          <w:p>
            <w:pPr>
              <w:spacing w:line="480" w:lineRule="auto"/>
              <w:jc w:val="center"/>
              <w:rPr>
                <w:rFonts w:ascii="宋体"/>
                <w:bCs/>
                <w:color w:val="auto"/>
                <w:sz w:val="24"/>
              </w:rPr>
            </w:pPr>
            <w:r>
              <w:rPr>
                <w:rFonts w:hint="eastAsia" w:ascii="宋体" w:hAnsi="宋体"/>
                <w:bCs/>
                <w:color w:val="auto"/>
                <w:kern w:val="0"/>
                <w:sz w:val="24"/>
              </w:rPr>
              <w:t>作</w:t>
            </w:r>
            <w:r>
              <w:rPr>
                <w:rFonts w:ascii="宋体" w:hAnsi="宋体"/>
                <w:bCs/>
                <w:color w:val="auto"/>
                <w:kern w:val="0"/>
                <w:sz w:val="24"/>
              </w:rPr>
              <w:t xml:space="preserve"> </w:t>
            </w:r>
            <w:r>
              <w:rPr>
                <w:rFonts w:hint="eastAsia" w:ascii="宋体" w:hAnsi="宋体"/>
                <w:bCs/>
                <w:color w:val="auto"/>
                <w:kern w:val="0"/>
                <w:sz w:val="24"/>
              </w:rPr>
              <w:t>者</w:t>
            </w:r>
          </w:p>
        </w:tc>
        <w:tc>
          <w:tcPr>
            <w:tcW w:w="1440" w:type="dxa"/>
            <w:vAlign w:val="center"/>
          </w:tcPr>
          <w:p>
            <w:pPr>
              <w:spacing w:line="480" w:lineRule="auto"/>
              <w:jc w:val="center"/>
              <w:rPr>
                <w:rFonts w:ascii="宋体"/>
                <w:bCs/>
                <w:color w:val="auto"/>
                <w:sz w:val="24"/>
              </w:rPr>
            </w:pPr>
            <w:r>
              <w:rPr>
                <w:rFonts w:hint="eastAsia" w:ascii="宋体" w:hAnsi="宋体"/>
                <w:bCs/>
                <w:color w:val="auto"/>
                <w:kern w:val="0"/>
                <w:sz w:val="24"/>
              </w:rPr>
              <w:t>成果形式</w:t>
            </w:r>
          </w:p>
        </w:tc>
        <w:tc>
          <w:tcPr>
            <w:tcW w:w="1980" w:type="dxa"/>
            <w:vAlign w:val="center"/>
          </w:tcPr>
          <w:p>
            <w:pPr>
              <w:jc w:val="center"/>
              <w:rPr>
                <w:rFonts w:ascii="宋体"/>
                <w:bCs/>
                <w:color w:val="auto"/>
                <w:sz w:val="24"/>
              </w:rPr>
            </w:pPr>
            <w:r>
              <w:rPr>
                <w:rFonts w:hint="eastAsia" w:ascii="宋体" w:hAnsi="宋体"/>
                <w:bCs/>
                <w:color w:val="auto"/>
                <w:sz w:val="24"/>
              </w:rPr>
              <w:t>发表刊物或</w:t>
            </w:r>
          </w:p>
          <w:p>
            <w:pPr>
              <w:jc w:val="center"/>
              <w:rPr>
                <w:rFonts w:ascii="宋体"/>
                <w:bCs/>
                <w:color w:val="auto"/>
                <w:sz w:val="24"/>
              </w:rPr>
            </w:pPr>
            <w:r>
              <w:rPr>
                <w:rFonts w:hint="eastAsia" w:ascii="宋体" w:hAnsi="宋体"/>
                <w:bCs/>
                <w:color w:val="auto"/>
                <w:sz w:val="24"/>
              </w:rPr>
              <w:t>出版单位</w:t>
            </w:r>
          </w:p>
        </w:tc>
        <w:tc>
          <w:tcPr>
            <w:tcW w:w="1377" w:type="dxa"/>
            <w:vAlign w:val="center"/>
          </w:tcPr>
          <w:p>
            <w:pPr>
              <w:jc w:val="center"/>
              <w:rPr>
                <w:rFonts w:ascii="宋体"/>
                <w:bCs/>
                <w:color w:val="auto"/>
                <w:sz w:val="24"/>
              </w:rPr>
            </w:pPr>
            <w:r>
              <w:rPr>
                <w:rFonts w:hint="eastAsia" w:ascii="宋体" w:hAnsi="宋体"/>
                <w:bCs/>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360" w:lineRule="auto"/>
              <w:jc w:val="center"/>
              <w:rPr>
                <w:rFonts w:eastAsia="楷体_GB2312"/>
                <w:bCs/>
                <w:color w:val="auto"/>
              </w:rPr>
            </w:pPr>
          </w:p>
        </w:tc>
        <w:tc>
          <w:tcPr>
            <w:tcW w:w="900" w:type="dxa"/>
          </w:tcPr>
          <w:p>
            <w:pPr>
              <w:spacing w:line="360" w:lineRule="auto"/>
              <w:jc w:val="center"/>
              <w:rPr>
                <w:rFonts w:eastAsia="楷体_GB2312"/>
                <w:bCs/>
                <w:color w:val="auto"/>
              </w:rPr>
            </w:pPr>
          </w:p>
        </w:tc>
        <w:tc>
          <w:tcPr>
            <w:tcW w:w="1440" w:type="dxa"/>
          </w:tcPr>
          <w:p>
            <w:pPr>
              <w:spacing w:line="360" w:lineRule="auto"/>
              <w:rPr>
                <w:rFonts w:eastAsia="楷体_GB2312"/>
                <w:bCs/>
                <w:color w:val="auto"/>
              </w:rPr>
            </w:pPr>
          </w:p>
        </w:tc>
        <w:tc>
          <w:tcPr>
            <w:tcW w:w="1980" w:type="dxa"/>
          </w:tcPr>
          <w:p>
            <w:pPr>
              <w:spacing w:line="360" w:lineRule="auto"/>
              <w:jc w:val="center"/>
              <w:rPr>
                <w:rFonts w:eastAsia="楷体_GB2312"/>
                <w:bCs/>
                <w:color w:val="auto"/>
              </w:rPr>
            </w:pPr>
          </w:p>
        </w:tc>
        <w:tc>
          <w:tcPr>
            <w:tcW w:w="1377" w:type="dxa"/>
          </w:tcPr>
          <w:p>
            <w:pPr>
              <w:spacing w:line="360" w:lineRule="auto"/>
              <w:jc w:val="center"/>
              <w:rPr>
                <w:rFonts w:eastAsia="楷体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360" w:lineRule="auto"/>
              <w:jc w:val="center"/>
              <w:rPr>
                <w:rFonts w:eastAsia="楷体_GB2312"/>
                <w:color w:val="auto"/>
                <w:szCs w:val="21"/>
              </w:rPr>
            </w:pPr>
          </w:p>
        </w:tc>
        <w:tc>
          <w:tcPr>
            <w:tcW w:w="900" w:type="dxa"/>
          </w:tcPr>
          <w:p>
            <w:pPr>
              <w:spacing w:line="360" w:lineRule="auto"/>
              <w:jc w:val="center"/>
              <w:rPr>
                <w:rFonts w:eastAsia="楷体_GB2312"/>
                <w:color w:val="auto"/>
                <w:szCs w:val="21"/>
              </w:rPr>
            </w:pPr>
          </w:p>
          <w:p>
            <w:pPr>
              <w:spacing w:line="360" w:lineRule="auto"/>
              <w:jc w:val="center"/>
              <w:rPr>
                <w:rFonts w:eastAsia="楷体_GB2312"/>
                <w:color w:val="auto"/>
                <w:szCs w:val="21"/>
              </w:rPr>
            </w:pPr>
          </w:p>
        </w:tc>
        <w:tc>
          <w:tcPr>
            <w:tcW w:w="1440" w:type="dxa"/>
          </w:tcPr>
          <w:p>
            <w:pPr>
              <w:spacing w:line="360" w:lineRule="auto"/>
              <w:jc w:val="center"/>
              <w:rPr>
                <w:rFonts w:eastAsia="楷体_GB2312"/>
                <w:color w:val="auto"/>
                <w:szCs w:val="21"/>
              </w:rPr>
            </w:pPr>
          </w:p>
        </w:tc>
        <w:tc>
          <w:tcPr>
            <w:tcW w:w="1980" w:type="dxa"/>
          </w:tcPr>
          <w:p>
            <w:pPr>
              <w:spacing w:line="360" w:lineRule="auto"/>
              <w:jc w:val="center"/>
              <w:rPr>
                <w:rFonts w:eastAsia="楷体_GB2312"/>
                <w:color w:val="auto"/>
                <w:szCs w:val="21"/>
              </w:rPr>
            </w:pPr>
          </w:p>
        </w:tc>
        <w:tc>
          <w:tcPr>
            <w:tcW w:w="1377" w:type="dxa"/>
          </w:tcPr>
          <w:p>
            <w:pPr>
              <w:spacing w:line="360" w:lineRule="auto"/>
              <w:jc w:val="center"/>
              <w:rPr>
                <w:rFonts w:eastAsia="楷体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360" w:lineRule="auto"/>
              <w:jc w:val="center"/>
              <w:rPr>
                <w:rFonts w:eastAsia="楷体_GB2312"/>
                <w:bCs/>
                <w:color w:val="auto"/>
              </w:rPr>
            </w:pPr>
          </w:p>
        </w:tc>
        <w:tc>
          <w:tcPr>
            <w:tcW w:w="900" w:type="dxa"/>
          </w:tcPr>
          <w:p>
            <w:pPr>
              <w:spacing w:line="360" w:lineRule="auto"/>
              <w:jc w:val="center"/>
              <w:rPr>
                <w:rFonts w:eastAsia="楷体_GB2312"/>
                <w:bCs/>
                <w:color w:val="auto"/>
              </w:rPr>
            </w:pPr>
          </w:p>
        </w:tc>
        <w:tc>
          <w:tcPr>
            <w:tcW w:w="1440" w:type="dxa"/>
          </w:tcPr>
          <w:p>
            <w:pPr>
              <w:spacing w:line="360" w:lineRule="auto"/>
              <w:jc w:val="center"/>
              <w:rPr>
                <w:rFonts w:eastAsia="楷体_GB2312"/>
                <w:bCs/>
                <w:color w:val="auto"/>
              </w:rPr>
            </w:pPr>
          </w:p>
        </w:tc>
        <w:tc>
          <w:tcPr>
            <w:tcW w:w="1980" w:type="dxa"/>
          </w:tcPr>
          <w:p>
            <w:pPr>
              <w:spacing w:line="360" w:lineRule="auto"/>
              <w:jc w:val="center"/>
              <w:rPr>
                <w:rFonts w:eastAsia="楷体_GB2312"/>
                <w:bCs/>
                <w:color w:val="auto"/>
              </w:rPr>
            </w:pPr>
          </w:p>
        </w:tc>
        <w:tc>
          <w:tcPr>
            <w:tcW w:w="1377" w:type="dxa"/>
          </w:tcPr>
          <w:p>
            <w:pPr>
              <w:spacing w:line="360" w:lineRule="auto"/>
              <w:jc w:val="center"/>
              <w:rPr>
                <w:rFonts w:eastAsia="楷体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360" w:lineRule="auto"/>
              <w:jc w:val="center"/>
              <w:rPr>
                <w:rFonts w:eastAsia="楷体_GB2312"/>
                <w:bCs/>
                <w:color w:val="auto"/>
              </w:rPr>
            </w:pPr>
          </w:p>
        </w:tc>
        <w:tc>
          <w:tcPr>
            <w:tcW w:w="900" w:type="dxa"/>
          </w:tcPr>
          <w:p>
            <w:pPr>
              <w:spacing w:line="360" w:lineRule="auto"/>
              <w:jc w:val="center"/>
              <w:rPr>
                <w:rFonts w:eastAsia="楷体_GB2312"/>
                <w:bCs/>
                <w:color w:val="auto"/>
              </w:rPr>
            </w:pPr>
          </w:p>
        </w:tc>
        <w:tc>
          <w:tcPr>
            <w:tcW w:w="1440" w:type="dxa"/>
          </w:tcPr>
          <w:p>
            <w:pPr>
              <w:spacing w:line="360" w:lineRule="auto"/>
              <w:jc w:val="center"/>
              <w:rPr>
                <w:rFonts w:eastAsia="楷体_GB2312"/>
                <w:bCs/>
                <w:color w:val="auto"/>
              </w:rPr>
            </w:pPr>
          </w:p>
        </w:tc>
        <w:tc>
          <w:tcPr>
            <w:tcW w:w="1980" w:type="dxa"/>
          </w:tcPr>
          <w:p>
            <w:pPr>
              <w:spacing w:line="360" w:lineRule="auto"/>
              <w:jc w:val="center"/>
              <w:rPr>
                <w:rFonts w:eastAsia="楷体_GB2312"/>
                <w:bCs/>
                <w:color w:val="auto"/>
              </w:rPr>
            </w:pPr>
          </w:p>
        </w:tc>
        <w:tc>
          <w:tcPr>
            <w:tcW w:w="1377" w:type="dxa"/>
          </w:tcPr>
          <w:p>
            <w:pPr>
              <w:spacing w:line="360" w:lineRule="auto"/>
              <w:jc w:val="center"/>
              <w:rPr>
                <w:rFonts w:eastAsia="楷体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360" w:lineRule="auto"/>
              <w:jc w:val="center"/>
              <w:rPr>
                <w:rFonts w:eastAsia="楷体_GB2312"/>
                <w:bCs/>
                <w:color w:val="auto"/>
              </w:rPr>
            </w:pPr>
          </w:p>
        </w:tc>
        <w:tc>
          <w:tcPr>
            <w:tcW w:w="900" w:type="dxa"/>
          </w:tcPr>
          <w:p>
            <w:pPr>
              <w:spacing w:line="360" w:lineRule="auto"/>
              <w:jc w:val="center"/>
              <w:rPr>
                <w:rFonts w:eastAsia="楷体_GB2312"/>
                <w:bCs/>
                <w:color w:val="auto"/>
              </w:rPr>
            </w:pPr>
          </w:p>
        </w:tc>
        <w:tc>
          <w:tcPr>
            <w:tcW w:w="1440" w:type="dxa"/>
          </w:tcPr>
          <w:p>
            <w:pPr>
              <w:spacing w:line="360" w:lineRule="auto"/>
              <w:jc w:val="center"/>
              <w:rPr>
                <w:rFonts w:eastAsia="楷体_GB2312"/>
                <w:bCs/>
                <w:color w:val="auto"/>
              </w:rPr>
            </w:pPr>
          </w:p>
        </w:tc>
        <w:tc>
          <w:tcPr>
            <w:tcW w:w="1980" w:type="dxa"/>
          </w:tcPr>
          <w:p>
            <w:pPr>
              <w:spacing w:line="360" w:lineRule="auto"/>
              <w:jc w:val="center"/>
              <w:rPr>
                <w:rFonts w:eastAsia="楷体_GB2312"/>
                <w:bCs/>
                <w:color w:val="auto"/>
              </w:rPr>
            </w:pPr>
          </w:p>
        </w:tc>
        <w:tc>
          <w:tcPr>
            <w:tcW w:w="1377" w:type="dxa"/>
          </w:tcPr>
          <w:p>
            <w:pPr>
              <w:spacing w:line="360" w:lineRule="auto"/>
              <w:jc w:val="center"/>
              <w:rPr>
                <w:rFonts w:eastAsia="楷体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360" w:lineRule="auto"/>
              <w:jc w:val="center"/>
              <w:rPr>
                <w:rFonts w:eastAsia="楷体_GB2312"/>
                <w:bCs/>
                <w:color w:val="auto"/>
              </w:rPr>
            </w:pPr>
          </w:p>
        </w:tc>
        <w:tc>
          <w:tcPr>
            <w:tcW w:w="900" w:type="dxa"/>
          </w:tcPr>
          <w:p>
            <w:pPr>
              <w:spacing w:line="360" w:lineRule="auto"/>
              <w:jc w:val="center"/>
              <w:rPr>
                <w:rFonts w:eastAsia="楷体_GB2312"/>
                <w:bCs/>
                <w:color w:val="auto"/>
              </w:rPr>
            </w:pPr>
          </w:p>
        </w:tc>
        <w:tc>
          <w:tcPr>
            <w:tcW w:w="1440" w:type="dxa"/>
          </w:tcPr>
          <w:p>
            <w:pPr>
              <w:spacing w:line="360" w:lineRule="auto"/>
              <w:jc w:val="center"/>
              <w:rPr>
                <w:rFonts w:eastAsia="楷体_GB2312"/>
                <w:bCs/>
                <w:color w:val="auto"/>
              </w:rPr>
            </w:pPr>
          </w:p>
        </w:tc>
        <w:tc>
          <w:tcPr>
            <w:tcW w:w="1980" w:type="dxa"/>
          </w:tcPr>
          <w:p>
            <w:pPr>
              <w:spacing w:line="360" w:lineRule="auto"/>
              <w:jc w:val="center"/>
              <w:rPr>
                <w:rFonts w:eastAsia="楷体_GB2312"/>
                <w:bCs/>
                <w:color w:val="auto"/>
              </w:rPr>
            </w:pPr>
          </w:p>
        </w:tc>
        <w:tc>
          <w:tcPr>
            <w:tcW w:w="1377" w:type="dxa"/>
          </w:tcPr>
          <w:p>
            <w:pPr>
              <w:spacing w:line="360" w:lineRule="auto"/>
              <w:jc w:val="center"/>
              <w:rPr>
                <w:rFonts w:eastAsia="楷体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480" w:lineRule="auto"/>
              <w:rPr>
                <w:rFonts w:eastAsia="仿宋_GB2312"/>
                <w:bCs/>
                <w:color w:val="auto"/>
                <w:sz w:val="24"/>
              </w:rPr>
            </w:pPr>
          </w:p>
        </w:tc>
        <w:tc>
          <w:tcPr>
            <w:tcW w:w="900" w:type="dxa"/>
          </w:tcPr>
          <w:p>
            <w:pPr>
              <w:spacing w:line="480" w:lineRule="auto"/>
              <w:rPr>
                <w:rFonts w:eastAsia="仿宋_GB2312"/>
                <w:bCs/>
                <w:color w:val="auto"/>
                <w:sz w:val="24"/>
              </w:rPr>
            </w:pPr>
          </w:p>
        </w:tc>
        <w:tc>
          <w:tcPr>
            <w:tcW w:w="1440" w:type="dxa"/>
          </w:tcPr>
          <w:p>
            <w:pPr>
              <w:spacing w:line="480" w:lineRule="auto"/>
              <w:rPr>
                <w:rFonts w:eastAsia="仿宋_GB2312"/>
                <w:bCs/>
                <w:color w:val="auto"/>
                <w:sz w:val="24"/>
              </w:rPr>
            </w:pPr>
          </w:p>
        </w:tc>
        <w:tc>
          <w:tcPr>
            <w:tcW w:w="1980" w:type="dxa"/>
          </w:tcPr>
          <w:p>
            <w:pPr>
              <w:spacing w:line="480" w:lineRule="auto"/>
              <w:rPr>
                <w:rFonts w:eastAsia="仿宋_GB2312"/>
                <w:bCs/>
                <w:color w:val="auto"/>
                <w:sz w:val="24"/>
              </w:rPr>
            </w:pPr>
          </w:p>
        </w:tc>
        <w:tc>
          <w:tcPr>
            <w:tcW w:w="1377" w:type="dxa"/>
          </w:tcPr>
          <w:p>
            <w:pPr>
              <w:spacing w:line="480" w:lineRule="auto"/>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480" w:lineRule="auto"/>
              <w:rPr>
                <w:rFonts w:eastAsia="仿宋_GB2312"/>
                <w:bCs/>
                <w:color w:val="auto"/>
                <w:sz w:val="24"/>
              </w:rPr>
            </w:pPr>
          </w:p>
        </w:tc>
        <w:tc>
          <w:tcPr>
            <w:tcW w:w="900" w:type="dxa"/>
          </w:tcPr>
          <w:p>
            <w:pPr>
              <w:spacing w:line="480" w:lineRule="auto"/>
              <w:rPr>
                <w:rFonts w:eastAsia="仿宋_GB2312"/>
                <w:bCs/>
                <w:color w:val="auto"/>
                <w:sz w:val="24"/>
              </w:rPr>
            </w:pPr>
          </w:p>
        </w:tc>
        <w:tc>
          <w:tcPr>
            <w:tcW w:w="1440" w:type="dxa"/>
          </w:tcPr>
          <w:p>
            <w:pPr>
              <w:spacing w:line="480" w:lineRule="auto"/>
              <w:rPr>
                <w:rFonts w:eastAsia="仿宋_GB2312"/>
                <w:bCs/>
                <w:color w:val="auto"/>
                <w:sz w:val="24"/>
              </w:rPr>
            </w:pPr>
          </w:p>
        </w:tc>
        <w:tc>
          <w:tcPr>
            <w:tcW w:w="1980" w:type="dxa"/>
          </w:tcPr>
          <w:p>
            <w:pPr>
              <w:spacing w:line="480" w:lineRule="auto"/>
              <w:rPr>
                <w:rFonts w:eastAsia="仿宋_GB2312"/>
                <w:bCs/>
                <w:color w:val="auto"/>
                <w:sz w:val="24"/>
              </w:rPr>
            </w:pPr>
          </w:p>
        </w:tc>
        <w:tc>
          <w:tcPr>
            <w:tcW w:w="1377" w:type="dxa"/>
          </w:tcPr>
          <w:p>
            <w:pPr>
              <w:spacing w:line="480" w:lineRule="auto"/>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480" w:lineRule="auto"/>
              <w:rPr>
                <w:rFonts w:eastAsia="仿宋_GB2312"/>
                <w:bCs/>
                <w:color w:val="auto"/>
                <w:sz w:val="24"/>
              </w:rPr>
            </w:pPr>
          </w:p>
        </w:tc>
        <w:tc>
          <w:tcPr>
            <w:tcW w:w="900" w:type="dxa"/>
          </w:tcPr>
          <w:p>
            <w:pPr>
              <w:spacing w:line="480" w:lineRule="auto"/>
              <w:rPr>
                <w:rFonts w:eastAsia="仿宋_GB2312"/>
                <w:bCs/>
                <w:color w:val="auto"/>
                <w:sz w:val="24"/>
              </w:rPr>
            </w:pPr>
          </w:p>
        </w:tc>
        <w:tc>
          <w:tcPr>
            <w:tcW w:w="1440" w:type="dxa"/>
          </w:tcPr>
          <w:p>
            <w:pPr>
              <w:spacing w:line="480" w:lineRule="auto"/>
              <w:rPr>
                <w:rFonts w:eastAsia="仿宋_GB2312"/>
                <w:bCs/>
                <w:color w:val="auto"/>
                <w:sz w:val="24"/>
              </w:rPr>
            </w:pPr>
          </w:p>
        </w:tc>
        <w:tc>
          <w:tcPr>
            <w:tcW w:w="1980" w:type="dxa"/>
          </w:tcPr>
          <w:p>
            <w:pPr>
              <w:spacing w:line="480" w:lineRule="auto"/>
              <w:rPr>
                <w:rFonts w:eastAsia="仿宋_GB2312"/>
                <w:bCs/>
                <w:color w:val="auto"/>
                <w:sz w:val="24"/>
              </w:rPr>
            </w:pPr>
          </w:p>
        </w:tc>
        <w:tc>
          <w:tcPr>
            <w:tcW w:w="1377" w:type="dxa"/>
          </w:tcPr>
          <w:p>
            <w:pPr>
              <w:spacing w:line="480" w:lineRule="auto"/>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480" w:lineRule="auto"/>
              <w:rPr>
                <w:rFonts w:eastAsia="仿宋_GB2312"/>
                <w:bCs/>
                <w:color w:val="auto"/>
                <w:sz w:val="24"/>
              </w:rPr>
            </w:pPr>
          </w:p>
        </w:tc>
        <w:tc>
          <w:tcPr>
            <w:tcW w:w="900" w:type="dxa"/>
          </w:tcPr>
          <w:p>
            <w:pPr>
              <w:spacing w:line="480" w:lineRule="auto"/>
              <w:rPr>
                <w:rFonts w:eastAsia="仿宋_GB2312"/>
                <w:bCs/>
                <w:color w:val="auto"/>
                <w:sz w:val="24"/>
              </w:rPr>
            </w:pPr>
          </w:p>
        </w:tc>
        <w:tc>
          <w:tcPr>
            <w:tcW w:w="1440" w:type="dxa"/>
          </w:tcPr>
          <w:p>
            <w:pPr>
              <w:spacing w:line="480" w:lineRule="auto"/>
              <w:rPr>
                <w:rFonts w:eastAsia="仿宋_GB2312"/>
                <w:bCs/>
                <w:color w:val="auto"/>
                <w:sz w:val="24"/>
              </w:rPr>
            </w:pPr>
          </w:p>
        </w:tc>
        <w:tc>
          <w:tcPr>
            <w:tcW w:w="1980" w:type="dxa"/>
          </w:tcPr>
          <w:p>
            <w:pPr>
              <w:spacing w:line="480" w:lineRule="auto"/>
              <w:rPr>
                <w:rFonts w:eastAsia="仿宋_GB2312"/>
                <w:bCs/>
                <w:color w:val="auto"/>
                <w:sz w:val="24"/>
              </w:rPr>
            </w:pPr>
          </w:p>
        </w:tc>
        <w:tc>
          <w:tcPr>
            <w:tcW w:w="1377" w:type="dxa"/>
          </w:tcPr>
          <w:p>
            <w:pPr>
              <w:spacing w:line="480" w:lineRule="auto"/>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480" w:lineRule="auto"/>
              <w:rPr>
                <w:rFonts w:eastAsia="仿宋_GB2312"/>
                <w:bCs/>
                <w:color w:val="auto"/>
                <w:sz w:val="24"/>
              </w:rPr>
            </w:pPr>
          </w:p>
        </w:tc>
        <w:tc>
          <w:tcPr>
            <w:tcW w:w="900" w:type="dxa"/>
          </w:tcPr>
          <w:p>
            <w:pPr>
              <w:spacing w:line="480" w:lineRule="auto"/>
              <w:rPr>
                <w:rFonts w:eastAsia="仿宋_GB2312"/>
                <w:bCs/>
                <w:color w:val="auto"/>
                <w:sz w:val="24"/>
              </w:rPr>
            </w:pPr>
          </w:p>
        </w:tc>
        <w:tc>
          <w:tcPr>
            <w:tcW w:w="1440" w:type="dxa"/>
          </w:tcPr>
          <w:p>
            <w:pPr>
              <w:spacing w:line="480" w:lineRule="auto"/>
              <w:rPr>
                <w:rFonts w:eastAsia="仿宋_GB2312"/>
                <w:bCs/>
                <w:color w:val="auto"/>
                <w:sz w:val="24"/>
              </w:rPr>
            </w:pPr>
          </w:p>
        </w:tc>
        <w:tc>
          <w:tcPr>
            <w:tcW w:w="1980" w:type="dxa"/>
          </w:tcPr>
          <w:p>
            <w:pPr>
              <w:spacing w:line="480" w:lineRule="auto"/>
              <w:rPr>
                <w:rFonts w:eastAsia="仿宋_GB2312"/>
                <w:bCs/>
                <w:color w:val="auto"/>
                <w:sz w:val="24"/>
              </w:rPr>
            </w:pPr>
          </w:p>
        </w:tc>
        <w:tc>
          <w:tcPr>
            <w:tcW w:w="1377" w:type="dxa"/>
          </w:tcPr>
          <w:p>
            <w:pPr>
              <w:spacing w:line="480" w:lineRule="auto"/>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51" w:type="dxa"/>
          </w:tcPr>
          <w:p>
            <w:pPr>
              <w:spacing w:line="480" w:lineRule="auto"/>
              <w:rPr>
                <w:rFonts w:eastAsia="仿宋_GB2312"/>
                <w:bCs/>
                <w:color w:val="auto"/>
                <w:sz w:val="24"/>
              </w:rPr>
            </w:pPr>
          </w:p>
        </w:tc>
        <w:tc>
          <w:tcPr>
            <w:tcW w:w="900" w:type="dxa"/>
          </w:tcPr>
          <w:p>
            <w:pPr>
              <w:spacing w:line="480" w:lineRule="auto"/>
              <w:rPr>
                <w:rFonts w:eastAsia="仿宋_GB2312"/>
                <w:bCs/>
                <w:color w:val="auto"/>
                <w:sz w:val="24"/>
              </w:rPr>
            </w:pPr>
          </w:p>
        </w:tc>
        <w:tc>
          <w:tcPr>
            <w:tcW w:w="1440" w:type="dxa"/>
          </w:tcPr>
          <w:p>
            <w:pPr>
              <w:spacing w:line="480" w:lineRule="auto"/>
              <w:rPr>
                <w:rFonts w:eastAsia="仿宋_GB2312"/>
                <w:bCs/>
                <w:color w:val="auto"/>
                <w:sz w:val="24"/>
              </w:rPr>
            </w:pPr>
          </w:p>
        </w:tc>
        <w:tc>
          <w:tcPr>
            <w:tcW w:w="1980" w:type="dxa"/>
          </w:tcPr>
          <w:p>
            <w:pPr>
              <w:spacing w:line="480" w:lineRule="auto"/>
              <w:rPr>
                <w:rFonts w:eastAsia="仿宋_GB2312"/>
                <w:bCs/>
                <w:color w:val="auto"/>
                <w:sz w:val="24"/>
              </w:rPr>
            </w:pPr>
          </w:p>
        </w:tc>
        <w:tc>
          <w:tcPr>
            <w:tcW w:w="1377" w:type="dxa"/>
          </w:tcPr>
          <w:p>
            <w:pPr>
              <w:spacing w:line="480" w:lineRule="auto"/>
              <w:rPr>
                <w:rFonts w:eastAsia="仿宋_GB2312"/>
                <w:bCs/>
                <w:color w:val="auto"/>
                <w:sz w:val="24"/>
              </w:rPr>
            </w:pPr>
          </w:p>
        </w:tc>
      </w:tr>
    </w:tbl>
    <w:p>
      <w:pPr>
        <w:pStyle w:val="2"/>
        <w:rPr>
          <w:rFonts w:hint="eastAsia" w:ascii="宋体" w:hAnsi="宋体" w:eastAsia="宋体" w:cs="宋体"/>
          <w:color w:val="auto"/>
          <w:highlight w:val="none"/>
        </w:rPr>
      </w:pPr>
    </w:p>
    <w:p>
      <w:pPr>
        <w:spacing w:line="420" w:lineRule="exact"/>
        <w:jc w:val="center"/>
        <w:outlineLvl w:val="1"/>
        <w:rPr>
          <w:rFonts w:hint="eastAsia" w:ascii="宋体" w:hAnsi="宋体" w:eastAsia="宋体" w:cs="宋体"/>
          <w:b/>
          <w:bCs/>
          <w:color w:val="auto"/>
          <w:sz w:val="32"/>
          <w:szCs w:val="32"/>
          <w:highlight w:val="none"/>
        </w:rPr>
      </w:pPr>
      <w:bookmarkStart w:id="262" w:name="_Toc466549698"/>
      <w:bookmarkStart w:id="263" w:name="_Toc516240287"/>
      <w:r>
        <w:rPr>
          <w:rFonts w:hint="eastAsia" w:ascii="宋体" w:hAnsi="宋体" w:eastAsia="宋体" w:cs="宋体"/>
          <w:b/>
          <w:bCs/>
          <w:color w:val="auto"/>
          <w:sz w:val="32"/>
          <w:szCs w:val="32"/>
          <w:highlight w:val="none"/>
        </w:rPr>
        <w:br w:type="page"/>
      </w:r>
    </w:p>
    <w:p>
      <w:pPr>
        <w:spacing w:line="420" w:lineRule="exact"/>
        <w:jc w:val="center"/>
        <w:outlineLvl w:val="1"/>
        <w:rPr>
          <w:rFonts w:hint="eastAsia" w:ascii="宋体" w:hAnsi="宋体" w:eastAsia="宋体" w:cs="宋体"/>
          <w:b/>
          <w:bCs/>
          <w:color w:val="auto"/>
          <w:sz w:val="32"/>
          <w:szCs w:val="32"/>
          <w:highlight w:val="none"/>
        </w:rPr>
      </w:pPr>
      <w:bookmarkStart w:id="264" w:name="_Toc28319"/>
      <w:bookmarkStart w:id="265" w:name="_Toc3514_WPSOffice_Level1"/>
      <w:bookmarkStart w:id="266" w:name="_Toc20546_WPSOffice_Level1"/>
      <w:bookmarkStart w:id="267" w:name="_Toc211_WPSOffice_Level1"/>
      <w:r>
        <w:rPr>
          <w:rFonts w:hint="eastAsia" w:ascii="宋体" w:hAnsi="宋体" w:eastAsia="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资格证明材料</w:t>
      </w:r>
      <w:bookmarkEnd w:id="262"/>
      <w:bookmarkEnd w:id="263"/>
      <w:bookmarkEnd w:id="264"/>
      <w:bookmarkEnd w:id="265"/>
      <w:bookmarkEnd w:id="266"/>
      <w:bookmarkEnd w:id="267"/>
    </w:p>
    <w:p>
      <w:pPr>
        <w:autoSpaceDE w:val="0"/>
        <w:autoSpaceDN w:val="0"/>
        <w:adjustRightInd w:val="0"/>
        <w:jc w:val="center"/>
        <w:rPr>
          <w:rFonts w:hint="eastAsia" w:ascii="宋体" w:hAnsi="宋体" w:eastAsia="宋体" w:cs="宋体"/>
          <w:color w:val="auto"/>
          <w:sz w:val="30"/>
          <w:szCs w:val="30"/>
          <w:highlight w:val="none"/>
        </w:rPr>
      </w:pPr>
    </w:p>
    <w:p>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（竞争性磋商文件规定资格审查材料及采购需求中须提供的证明、证件材料的复印件）</w:t>
      </w:r>
    </w:p>
    <w:p>
      <w:pPr>
        <w:autoSpaceDE w:val="0"/>
        <w:autoSpaceDN w:val="0"/>
        <w:adjustRightInd w:val="0"/>
        <w:jc w:val="center"/>
        <w:rPr>
          <w:rFonts w:hint="eastAsia" w:ascii="宋体" w:hAnsi="宋体" w:eastAsia="宋体" w:cs="宋体"/>
          <w:color w:val="auto"/>
          <w:sz w:val="30"/>
          <w:szCs w:val="30"/>
          <w:highlight w:val="none"/>
        </w:rPr>
      </w:pPr>
    </w:p>
    <w:p>
      <w:pPr>
        <w:autoSpaceDE w:val="0"/>
        <w:autoSpaceDN w:val="0"/>
        <w:adjustRightInd w:val="0"/>
        <w:jc w:val="center"/>
        <w:rPr>
          <w:rFonts w:hint="eastAsia" w:ascii="宋体" w:hAnsi="宋体" w:eastAsia="宋体" w:cs="宋体"/>
          <w:color w:val="auto"/>
          <w:sz w:val="30"/>
          <w:szCs w:val="30"/>
          <w:highlight w:val="none"/>
        </w:rPr>
      </w:pPr>
    </w:p>
    <w:p>
      <w:pPr>
        <w:tabs>
          <w:tab w:val="left" w:pos="1815"/>
        </w:tabs>
        <w:rPr>
          <w:rFonts w:hint="eastAsia" w:ascii="宋体" w:hAnsi="宋体" w:eastAsia="宋体" w:cs="宋体"/>
          <w:color w:val="auto"/>
          <w:sz w:val="28"/>
          <w:szCs w:val="28"/>
          <w:highlight w:val="none"/>
        </w:rPr>
      </w:pPr>
    </w:p>
    <w:p>
      <w:pPr>
        <w:autoSpaceDE w:val="0"/>
        <w:autoSpaceDN w:val="0"/>
        <w:adjustRightInd w:val="0"/>
        <w:jc w:val="center"/>
        <w:rPr>
          <w:rFonts w:hint="eastAsia" w:ascii="宋体" w:hAnsi="宋体" w:eastAsia="宋体" w:cs="宋体"/>
          <w:color w:val="auto"/>
          <w:sz w:val="30"/>
          <w:szCs w:val="30"/>
          <w:highlight w:val="none"/>
        </w:rPr>
      </w:pPr>
    </w:p>
    <w:p>
      <w:pPr>
        <w:autoSpaceDE w:val="0"/>
        <w:autoSpaceDN w:val="0"/>
        <w:adjustRightInd w:val="0"/>
        <w:jc w:val="center"/>
        <w:rPr>
          <w:rFonts w:hint="eastAsia" w:ascii="宋体" w:hAnsi="宋体" w:eastAsia="宋体" w:cs="宋体"/>
          <w:color w:val="auto"/>
          <w:sz w:val="30"/>
          <w:szCs w:val="30"/>
          <w:highlight w:val="none"/>
        </w:rPr>
      </w:pPr>
    </w:p>
    <w:p>
      <w:pPr>
        <w:autoSpaceDE w:val="0"/>
        <w:autoSpaceDN w:val="0"/>
        <w:adjustRightInd w:val="0"/>
        <w:jc w:val="center"/>
        <w:rPr>
          <w:rFonts w:hint="eastAsia" w:ascii="宋体" w:hAnsi="宋体" w:eastAsia="宋体" w:cs="宋体"/>
          <w:b/>
          <w:bCs/>
          <w:color w:val="auto"/>
          <w:kern w:val="0"/>
          <w:sz w:val="30"/>
          <w:szCs w:val="30"/>
          <w:highlight w:val="none"/>
        </w:rPr>
      </w:pPr>
    </w:p>
    <w:p>
      <w:pPr>
        <w:autoSpaceDE w:val="0"/>
        <w:autoSpaceDN w:val="0"/>
        <w:adjustRightInd w:val="0"/>
        <w:jc w:val="center"/>
        <w:rPr>
          <w:rFonts w:hint="eastAsia" w:ascii="宋体" w:hAnsi="宋体" w:eastAsia="宋体" w:cs="宋体"/>
          <w:b/>
          <w:bCs/>
          <w:color w:val="auto"/>
          <w:kern w:val="0"/>
          <w:sz w:val="30"/>
          <w:szCs w:val="30"/>
          <w:highlight w:val="none"/>
        </w:rPr>
      </w:pPr>
    </w:p>
    <w:p>
      <w:pPr>
        <w:autoSpaceDE w:val="0"/>
        <w:autoSpaceDN w:val="0"/>
        <w:adjustRightInd w:val="0"/>
        <w:jc w:val="center"/>
        <w:outlineLvl w:val="1"/>
        <w:rPr>
          <w:rFonts w:hint="eastAsia" w:ascii="宋体" w:hAnsi="宋体" w:eastAsia="宋体" w:cs="宋体"/>
          <w:b/>
          <w:bCs/>
          <w:color w:val="auto"/>
          <w:sz w:val="32"/>
          <w:szCs w:val="32"/>
          <w:highlight w:val="none"/>
        </w:rPr>
      </w:pPr>
      <w:bookmarkStart w:id="268" w:name="_Toc3993_WPSOffice_Level2"/>
      <w:bookmarkStart w:id="269" w:name="_Toc14834_WPSOffice_Level2"/>
      <w:bookmarkStart w:id="270" w:name="_Toc487790681"/>
    </w:p>
    <w:p>
      <w:pPr>
        <w:autoSpaceDE w:val="0"/>
        <w:autoSpaceDN w:val="0"/>
        <w:adjustRightInd w:val="0"/>
        <w:jc w:val="center"/>
        <w:outlineLvl w:val="1"/>
        <w:rPr>
          <w:rFonts w:hint="eastAsia" w:ascii="宋体" w:hAnsi="宋体" w:eastAsia="宋体" w:cs="宋体"/>
          <w:b/>
          <w:bCs/>
          <w:color w:val="auto"/>
          <w:sz w:val="24"/>
          <w:szCs w:val="24"/>
          <w:highlight w:val="none"/>
          <w:lang w:eastAsia="zh-CN"/>
        </w:rPr>
      </w:pPr>
      <w:bookmarkStart w:id="271" w:name="_Toc24370_WPSOffice_Level2"/>
      <w:r>
        <w:rPr>
          <w:rFonts w:hint="eastAsia" w:ascii="宋体" w:hAnsi="宋体" w:eastAsia="宋体" w:cs="宋体"/>
          <w:b/>
          <w:bCs/>
          <w:color w:val="auto"/>
          <w:sz w:val="32"/>
          <w:szCs w:val="32"/>
          <w:highlight w:val="none"/>
        </w:rPr>
        <w:br w:type="page"/>
      </w:r>
      <w:bookmarkEnd w:id="268"/>
      <w:bookmarkEnd w:id="269"/>
      <w:bookmarkEnd w:id="270"/>
      <w:bookmarkEnd w:id="271"/>
      <w:bookmarkStart w:id="272" w:name="_Toc26593_WPSOffice_Level1"/>
      <w:bookmarkStart w:id="273" w:name="_Toc5887_WPSOffice_Level2"/>
      <w:bookmarkStart w:id="274" w:name="_Toc487790682"/>
      <w:bookmarkStart w:id="275" w:name="_Toc22471_WPSOffice_Level2"/>
      <w:bookmarkStart w:id="276" w:name="_Toc10270_WPSOffice_Level2"/>
      <w:bookmarkStart w:id="277" w:name="_Toc9433_WPSOffice_Level1"/>
      <w:bookmarkStart w:id="278" w:name="_Toc21622_WPSOffice_Level1"/>
      <w:r>
        <w:rPr>
          <w:rFonts w:hint="eastAsia" w:ascii="宋体" w:hAnsi="宋体" w:eastAsia="宋体" w:cs="宋体"/>
          <w:b/>
          <w:bCs/>
          <w:color w:val="auto"/>
          <w:sz w:val="32"/>
          <w:szCs w:val="32"/>
          <w:highlight w:val="none"/>
          <w:lang w:val="en-US" w:eastAsia="zh-CN"/>
        </w:rPr>
        <w:t>10.</w:t>
      </w:r>
      <w:bookmarkEnd w:id="272"/>
      <w:bookmarkEnd w:id="273"/>
      <w:bookmarkEnd w:id="274"/>
      <w:bookmarkEnd w:id="275"/>
      <w:bookmarkEnd w:id="276"/>
      <w:r>
        <w:rPr>
          <w:rFonts w:hint="eastAsia" w:ascii="宋体" w:hAnsi="宋体" w:eastAsia="宋体" w:cs="宋体"/>
          <w:b/>
          <w:bCs/>
          <w:color w:val="auto"/>
          <w:sz w:val="32"/>
          <w:szCs w:val="32"/>
          <w:highlight w:val="none"/>
        </w:rPr>
        <w:t>供应商</w:t>
      </w:r>
      <w:bookmarkEnd w:id="277"/>
      <w:r>
        <w:rPr>
          <w:rFonts w:hint="eastAsia" w:ascii="宋体" w:hAnsi="宋体" w:eastAsia="宋体" w:cs="宋体"/>
          <w:b/>
          <w:bCs/>
          <w:color w:val="auto"/>
          <w:sz w:val="32"/>
          <w:szCs w:val="32"/>
          <w:highlight w:val="none"/>
        </w:rPr>
        <w:t>荣誉及能力</w:t>
      </w:r>
      <w:r>
        <w:rPr>
          <w:rFonts w:hint="eastAsia" w:ascii="宋体" w:hAnsi="宋体" w:eastAsia="宋体" w:cs="宋体"/>
          <w:b/>
          <w:bCs/>
          <w:color w:val="auto"/>
          <w:sz w:val="32"/>
          <w:szCs w:val="32"/>
          <w:highlight w:val="none"/>
          <w:lang w:eastAsia="zh-CN"/>
        </w:rPr>
        <w:t>等相关资料</w:t>
      </w:r>
      <w:bookmarkEnd w:id="278"/>
    </w:p>
    <w:p>
      <w:pPr>
        <w:spacing w:line="360" w:lineRule="auto"/>
        <w:rPr>
          <w:rFonts w:hint="eastAsia" w:ascii="宋体" w:hAnsi="宋体" w:eastAsia="宋体" w:cs="宋体"/>
          <w:color w:val="auto"/>
          <w:sz w:val="24"/>
          <w:szCs w:val="24"/>
          <w:highlight w:val="none"/>
        </w:rPr>
      </w:pPr>
    </w:p>
    <w:p>
      <w:pPr>
        <w:pStyle w:val="35"/>
        <w:jc w:val="center"/>
        <w:rPr>
          <w:rFonts w:hint="eastAsia" w:ascii="宋体" w:hAnsi="宋体" w:eastAsia="宋体" w:cs="宋体"/>
          <w:b/>
          <w:color w:val="auto"/>
          <w:sz w:val="28"/>
          <w:szCs w:val="28"/>
          <w:highlight w:val="none"/>
        </w:rPr>
      </w:pPr>
    </w:p>
    <w:p>
      <w:pPr>
        <w:pStyle w:val="35"/>
        <w:jc w:val="center"/>
        <w:rPr>
          <w:rFonts w:hint="eastAsia" w:ascii="宋体" w:hAnsi="宋体" w:eastAsia="宋体" w:cs="宋体"/>
          <w:b/>
          <w:color w:val="auto"/>
          <w:sz w:val="28"/>
          <w:szCs w:val="28"/>
          <w:highlight w:val="none"/>
        </w:rPr>
      </w:pPr>
    </w:p>
    <w:p>
      <w:pPr>
        <w:tabs>
          <w:tab w:val="left" w:pos="630"/>
        </w:tabs>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pPr>
        <w:pStyle w:val="36"/>
        <w:tabs>
          <w:tab w:val="left" w:pos="1050"/>
        </w:tabs>
        <w:spacing w:line="360" w:lineRule="auto"/>
        <w:rPr>
          <w:rFonts w:hint="eastAsia" w:ascii="宋体" w:hAnsi="宋体" w:eastAsia="宋体" w:cs="宋体"/>
          <w:color w:val="auto"/>
          <w:sz w:val="24"/>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spacing w:line="312"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30"/>
          <w:szCs w:val="30"/>
          <w:highlight w:val="none"/>
        </w:rPr>
        <w:br w:type="page"/>
      </w:r>
      <w:bookmarkStart w:id="279" w:name="_Toc19731_WPSOffice_Level1"/>
      <w:bookmarkStart w:id="280" w:name="_Toc3143_WPSOffice_Level1"/>
      <w:bookmarkStart w:id="281" w:name="_Toc14296_WPSOffice_Level1"/>
      <w:r>
        <w:rPr>
          <w:rFonts w:hint="eastAsia" w:ascii="宋体" w:hAnsi="宋体" w:eastAsia="宋体" w:cs="宋体"/>
          <w:b/>
          <w:color w:val="auto"/>
          <w:sz w:val="30"/>
          <w:szCs w:val="30"/>
          <w:highlight w:val="none"/>
          <w:lang w:val="en-US" w:eastAsia="zh-CN"/>
        </w:rPr>
        <w:t>1</w:t>
      </w:r>
      <w:r>
        <w:rPr>
          <w:rFonts w:hint="eastAsia" w:ascii="宋体" w:hAnsi="宋体" w:cs="宋体"/>
          <w:b/>
          <w:color w:val="auto"/>
          <w:sz w:val="30"/>
          <w:szCs w:val="30"/>
          <w:highlight w:val="none"/>
          <w:lang w:val="en-US" w:eastAsia="zh-CN"/>
        </w:rPr>
        <w:t>1</w:t>
      </w:r>
      <w:r>
        <w:rPr>
          <w:rFonts w:hint="eastAsia" w:ascii="宋体" w:hAnsi="宋体" w:eastAsia="宋体" w:cs="宋体"/>
          <w:b/>
          <w:color w:val="auto"/>
          <w:sz w:val="30"/>
          <w:szCs w:val="30"/>
          <w:highlight w:val="none"/>
          <w:lang w:val="en-US" w:eastAsia="zh-CN"/>
        </w:rPr>
        <w:t>.诚信承诺</w:t>
      </w:r>
      <w:bookmarkEnd w:id="279"/>
      <w:bookmarkEnd w:id="280"/>
      <w:r>
        <w:rPr>
          <w:rFonts w:hint="eastAsia" w:ascii="宋体" w:hAnsi="宋体" w:cs="宋体"/>
          <w:b/>
          <w:color w:val="auto"/>
          <w:sz w:val="30"/>
          <w:szCs w:val="30"/>
          <w:highlight w:val="none"/>
          <w:lang w:val="en-US" w:eastAsia="zh-CN"/>
        </w:rPr>
        <w:t>书</w:t>
      </w:r>
      <w:bookmarkEnd w:id="281"/>
    </w:p>
    <w:p>
      <w:pPr>
        <w:autoSpaceDE w:val="0"/>
        <w:autoSpaceDN w:val="0"/>
        <w:adjustRightIn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我单位参加本次政府采购活动，郑重承诺如下：</w:t>
      </w:r>
    </w:p>
    <w:p>
      <w:pPr>
        <w:widowControl/>
        <w:numPr>
          <w:ilvl w:val="0"/>
          <w:numId w:val="2"/>
        </w:numP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本次投标提供的所有资料都是真实有效、准确完整。如发现提供虚假资料或与事实不符，同意取消投标和中标候选人资格。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2．本次投标绝无资质挂靠、串标、围标情形。否则，同意取消投标和中标候选人资格。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3．本次招标如我方为中标人，除不可抗力外，决不因任何其它原因放弃中标候选人资格。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5、我方中标后，严格按照磋商文件和我单位响应文件的约定签订合同。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6、我方达不到</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公告投标供应商资格要求条件参与投标或被行政主管部门、监督管理部门等暂停、取消公共资源交易资格且在限制期内参与投标的，同意视为弄虚作假进行处理。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7、我方参加投标决不故意非实质性响应磋商文件（如投标报价高于于或等于该项目最高投标限价等）。否则，同意视为串通投标进行处理。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8、我单位作为投诉人投诉时，投诉书上的法定代表人（负责人）签字与我单位内的法定代表人（负责人）签字或其他文件中的法定代表人（负责人）签字一致（系同一人所签）。否则视为弄虚作假。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如监管机构或其他利害关系人认为法定代表人（负责人）的签字不是同一人所签或对签字有疑议时，投诉人应在被告知后的五个工作日内让其法定代表人（负责人）到监管机构指定的地点进行字迹辨认和鉴定，否则视为投诉人弄虚作假。</w:t>
      </w:r>
    </w:p>
    <w:p>
      <w:pPr>
        <w:widowControl/>
        <w:numPr>
          <w:ilvl w:val="0"/>
          <w:numId w:val="3"/>
        </w:numPr>
        <w:spacing w:line="500" w:lineRule="exact"/>
        <w:jc w:val="left"/>
        <w:rPr>
          <w:rFonts w:hint="eastAsia" w:ascii="宋体" w:hAnsi="宋体" w:eastAsia="宋体" w:cs="宋体"/>
          <w:color w:val="auto"/>
          <w:sz w:val="24"/>
          <w:szCs w:val="24"/>
          <w:highlight w:val="none"/>
        </w:rPr>
      </w:pPr>
      <w:bookmarkStart w:id="282" w:name="_Toc6110_WPSOffice_Level2"/>
      <w:bookmarkStart w:id="283" w:name="_Toc1200_WPSOffice_Level2"/>
      <w:r>
        <w:rPr>
          <w:rFonts w:hint="eastAsia" w:ascii="宋体" w:hAnsi="宋体" w:eastAsia="宋体" w:cs="宋体"/>
          <w:color w:val="auto"/>
          <w:sz w:val="24"/>
          <w:szCs w:val="24"/>
          <w:highlight w:val="none"/>
        </w:rPr>
        <w:t>我单位承诺不存在以下不良信用记录情形：</w:t>
      </w:r>
      <w:bookmarkEnd w:id="282"/>
      <w:bookmarkEnd w:id="283"/>
      <w:r>
        <w:rPr>
          <w:rFonts w:hint="eastAsia" w:ascii="宋体" w:hAnsi="宋体" w:eastAsia="宋体" w:cs="宋体"/>
          <w:color w:val="auto"/>
          <w:sz w:val="24"/>
          <w:szCs w:val="24"/>
          <w:highlight w:val="none"/>
        </w:rPr>
        <w:t xml:space="preserve">   </w:t>
      </w:r>
    </w:p>
    <w:p>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(1）供应商被人民法院列入失信被执行人的；</w:t>
      </w:r>
    </w:p>
    <w:p>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(2）供应商或其法定代表人或拟派项目经理（项目负责人）被人民检察院列入行贿犯罪档案的；</w:t>
      </w:r>
    </w:p>
    <w:p>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(3）供应商被工商行政管理部门列入企业经营异常名录的；</w:t>
      </w:r>
    </w:p>
    <w:p>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(4）供应商被税务部门列入重大税收违法案件当事人名单的；</w:t>
      </w:r>
    </w:p>
    <w:p>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(5）供应商被政府采购监管部门列入政府采购严重违法失信行为记录名单的。</w:t>
      </w:r>
    </w:p>
    <w:p>
      <w:pPr>
        <w:widowControl/>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11、我单位承诺不存在以下情形：</w:t>
      </w:r>
    </w:p>
    <w:p>
      <w:pPr>
        <w:widowControl/>
        <w:spacing w:line="5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近三年（自竞争性磋商公告发出之日起向前追溯三年）在阜阳市内没有因发生重大质量事故和违法违规行为而被行政主管部门做出不良行为记录且在信息公开发布期内；在阜阳市内被招投标监督管理部门或行业主管部门取消投标资格且在处罚期内的。</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出现违反上述承诺情形之一的，我方还同意磋商保证金（如有）不予退还并在1至3年内不参与阜阳市公共资源交易活动，愿意公开披露我单位违反承诺的不良行为信息，愿意接受处罚并承担所有经济损失和法律责任。</w:t>
      </w:r>
    </w:p>
    <w:p>
      <w:pPr>
        <w:ind w:firstLine="480" w:firstLineChars="200"/>
        <w:rPr>
          <w:rFonts w:hint="eastAsia" w:ascii="宋体" w:hAnsi="宋体" w:eastAsia="宋体" w:cs="宋体"/>
          <w:color w:val="auto"/>
          <w:sz w:val="24"/>
          <w:szCs w:val="24"/>
          <w:highlight w:val="none"/>
        </w:rPr>
      </w:pPr>
    </w:p>
    <w:p>
      <w:pPr>
        <w:pStyle w:val="31"/>
        <w:spacing w:line="312" w:lineRule="auto"/>
        <w:ind w:right="55" w:firstLine="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供应商：</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（盖单位章）</w:t>
      </w:r>
    </w:p>
    <w:p>
      <w:pPr>
        <w:pStyle w:val="31"/>
        <w:spacing w:line="312" w:lineRule="auto"/>
        <w:ind w:right="420" w:firstLine="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法定代表人（</w:t>
      </w:r>
      <w:r>
        <w:rPr>
          <w:rFonts w:hint="eastAsia" w:ascii="宋体" w:eastAsia="宋体" w:cs="宋体"/>
          <w:b w:val="0"/>
          <w:color w:val="auto"/>
          <w:sz w:val="24"/>
          <w:szCs w:val="24"/>
          <w:highlight w:val="none"/>
          <w:lang w:eastAsia="zh-CN"/>
        </w:rPr>
        <w:t>或</w:t>
      </w:r>
      <w:r>
        <w:rPr>
          <w:rFonts w:hint="eastAsia" w:ascii="宋体" w:hAnsi="宋体" w:eastAsia="宋体" w:cs="宋体"/>
          <w:b w:val="0"/>
          <w:color w:val="auto"/>
          <w:sz w:val="24"/>
          <w:szCs w:val="24"/>
          <w:highlight w:val="none"/>
        </w:rPr>
        <w:t>负责人）或授权委托人：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（签字或盖章）</w:t>
      </w:r>
    </w:p>
    <w:p>
      <w:pPr>
        <w:spacing w:line="312"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 系  人 ：</w:t>
      </w:r>
      <w:r>
        <w:rPr>
          <w:rFonts w:hint="eastAsia" w:ascii="宋体" w:hAnsi="宋体" w:eastAsia="宋体" w:cs="宋体"/>
          <w:color w:val="auto"/>
          <w:sz w:val="24"/>
          <w:szCs w:val="24"/>
          <w:highlight w:val="none"/>
          <w:u w:val="single"/>
        </w:rPr>
        <w:t>　　　　　　　　　　　　</w:t>
      </w:r>
    </w:p>
    <w:p>
      <w:pPr>
        <w:spacing w:line="312"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w:t>
      </w:r>
      <w:r>
        <w:rPr>
          <w:rFonts w:hint="eastAsia" w:ascii="宋体" w:hAnsi="宋体" w:eastAsia="宋体" w:cs="宋体"/>
          <w:color w:val="auto"/>
          <w:sz w:val="24"/>
          <w:szCs w:val="24"/>
          <w:highlight w:val="none"/>
          <w:u w:val="single"/>
        </w:rPr>
        <w:t xml:space="preserve">                        </w:t>
      </w:r>
    </w:p>
    <w:p>
      <w:pPr>
        <w:shd w:val="clear" w:color="auto" w:fill="FFFFFF"/>
        <w:snapToGrid w:val="0"/>
        <w:spacing w:line="420" w:lineRule="exact"/>
        <w:jc w:val="right"/>
        <w:rPr>
          <w:color w:val="auto"/>
        </w:rPr>
      </w:pPr>
      <w:bookmarkStart w:id="284" w:name="_Toc22701_WPSOffice_Level1"/>
      <w:r>
        <w:rPr>
          <w:rFonts w:hint="eastAsia" w:ascii="宋体" w:hAnsi="宋体" w:eastAsia="宋体" w:cs="宋体"/>
          <w:color w:val="auto"/>
          <w:sz w:val="24"/>
          <w:szCs w:val="24"/>
          <w:highlight w:val="none"/>
        </w:rPr>
        <w:t>年    月    日</w:t>
      </w:r>
      <w:bookmarkEnd w:id="250"/>
      <w:bookmarkEnd w:id="284"/>
    </w:p>
    <w:sectPr>
      <w:headerReference r:id="rId7" w:type="default"/>
      <w:footerReference r:id="rId8" w:type="default"/>
      <w:pgSz w:w="11907" w:h="16840"/>
      <w:pgMar w:top="1247" w:right="1417" w:bottom="1247" w:left="1417" w:header="851" w:footer="992" w:gutter="0"/>
      <w:cols w:space="0" w:num="1"/>
      <w:rtlGutter w:val="0"/>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Fonts w:ascii="宋体" w:hAnsi="宋体"/>
      </w:rPr>
    </w:pPr>
  </w:p>
  <w:p>
    <w:pPr>
      <w:pStyle w:val="12"/>
      <w:rPr>
        <w:rStyle w:val="21"/>
        <w:rFonts w:hint="eastAsia" w:ascii="宋体" w:hAnsi="宋体"/>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Fonts w:ascii="宋体" w:hAnsi="宋体"/>
      </w:rPr>
    </w:pPr>
  </w:p>
  <w:p>
    <w:pPr>
      <w:pStyle w:val="12"/>
      <w:rPr>
        <w:rStyle w:val="21"/>
        <w:rFonts w:hint="eastAsia" w:ascii="宋体" w:hAnsi="宋体"/>
        <w:sz w:val="21"/>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1"/>
        <w:rFonts w:hint="eastAsia" w:ascii="宋体" w:hAnsi="宋体"/>
        <w:sz w:val="21"/>
        <w:szCs w:val="22"/>
      </w:rPr>
    </w:pPr>
    <w:r>
      <w:rPr>
        <w:rStyle w:val="21"/>
        <w:rFonts w:hint="eastAsia" w:ascii="宋体" w:hAnsi="宋体"/>
        <w:sz w:val="21"/>
        <w:szCs w:val="22"/>
      </w:rPr>
      <w:fldChar w:fldCharType="begin"/>
    </w:r>
    <w:r>
      <w:rPr>
        <w:rStyle w:val="21"/>
        <w:rFonts w:hint="eastAsia" w:ascii="宋体" w:hAnsi="宋体"/>
        <w:sz w:val="21"/>
        <w:szCs w:val="22"/>
      </w:rPr>
      <w:instrText xml:space="preserve"> PAGE </w:instrText>
    </w:r>
    <w:r>
      <w:rPr>
        <w:rStyle w:val="21"/>
        <w:rFonts w:hint="eastAsia" w:ascii="宋体" w:hAnsi="宋体"/>
        <w:sz w:val="21"/>
        <w:szCs w:val="22"/>
      </w:rPr>
      <w:fldChar w:fldCharType="separate"/>
    </w:r>
    <w:r>
      <w:rPr>
        <w:rStyle w:val="21"/>
        <w:rFonts w:hint="eastAsia" w:ascii="宋体" w:hAnsi="宋体"/>
        <w:sz w:val="21"/>
        <w:szCs w:val="22"/>
      </w:rPr>
      <w:t>21</w:t>
    </w:r>
    <w:r>
      <w:rPr>
        <w:rStyle w:val="21"/>
        <w:rFonts w:hint="eastAsia" w:ascii="宋体" w:hAnsi="宋体"/>
        <w:sz w:val="21"/>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cs="Times New Roman"/>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1"/>
        <w:rFonts w:hint="eastAsia" w:ascii="宋体" w:hAnsi="宋体"/>
        <w:sz w:val="21"/>
        <w:szCs w:val="22"/>
      </w:rPr>
      <w:fldChar w:fldCharType="begin"/>
    </w:r>
    <w:r>
      <w:rPr>
        <w:rStyle w:val="21"/>
        <w:rFonts w:hint="eastAsia" w:ascii="宋体" w:hAnsi="宋体"/>
        <w:sz w:val="21"/>
        <w:szCs w:val="22"/>
      </w:rPr>
      <w:instrText xml:space="preserve"> PAGE </w:instrText>
    </w:r>
    <w:r>
      <w:rPr>
        <w:rStyle w:val="21"/>
        <w:rFonts w:hint="eastAsia" w:ascii="宋体" w:hAnsi="宋体"/>
        <w:sz w:val="21"/>
        <w:szCs w:val="22"/>
      </w:rPr>
      <w:fldChar w:fldCharType="separate"/>
    </w:r>
    <w:r>
      <w:rPr>
        <w:rStyle w:val="21"/>
        <w:rFonts w:hint="eastAsia" w:ascii="宋体" w:hAnsi="宋体"/>
        <w:sz w:val="21"/>
        <w:szCs w:val="22"/>
      </w:rPr>
      <w:t>26</w:t>
    </w:r>
    <w:r>
      <w:rPr>
        <w:rStyle w:val="21"/>
        <w:rFonts w:hint="eastAsia" w:ascii="宋体" w:hAnsi="宋体"/>
        <w:sz w:val="21"/>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486A431D"/>
    <w:multiLevelType w:val="singleLevel"/>
    <w:tmpl w:val="486A431D"/>
    <w:lvl w:ilvl="0" w:tentative="0">
      <w:start w:val="8"/>
      <w:numFmt w:val="decimal"/>
      <w:lvlText w:val="%1."/>
      <w:lvlJc w:val="left"/>
      <w:pPr>
        <w:tabs>
          <w:tab w:val="left" w:pos="312"/>
        </w:tabs>
      </w:pPr>
    </w:lvl>
  </w:abstractNum>
  <w:abstractNum w:abstractNumId="2">
    <w:nsid w:val="7B2F5BDC"/>
    <w:multiLevelType w:val="singleLevel"/>
    <w:tmpl w:val="7B2F5BDC"/>
    <w:lvl w:ilvl="0" w:tentative="0">
      <w:start w:val="10"/>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83E27"/>
    <w:rsid w:val="00157694"/>
    <w:rsid w:val="010B6941"/>
    <w:rsid w:val="01375840"/>
    <w:rsid w:val="01A92470"/>
    <w:rsid w:val="02172BB3"/>
    <w:rsid w:val="022D0955"/>
    <w:rsid w:val="025D361E"/>
    <w:rsid w:val="02760E82"/>
    <w:rsid w:val="03447E1C"/>
    <w:rsid w:val="03521DCD"/>
    <w:rsid w:val="045339E7"/>
    <w:rsid w:val="045C1FB5"/>
    <w:rsid w:val="0481609C"/>
    <w:rsid w:val="04BC0B8F"/>
    <w:rsid w:val="057F09E1"/>
    <w:rsid w:val="065A6BED"/>
    <w:rsid w:val="065D228B"/>
    <w:rsid w:val="06973FB6"/>
    <w:rsid w:val="072A3D6C"/>
    <w:rsid w:val="08147577"/>
    <w:rsid w:val="08B14FCE"/>
    <w:rsid w:val="08D46811"/>
    <w:rsid w:val="09441A19"/>
    <w:rsid w:val="098A1B74"/>
    <w:rsid w:val="0ABF0DF2"/>
    <w:rsid w:val="0B0D1F43"/>
    <w:rsid w:val="0B486BA8"/>
    <w:rsid w:val="0C004335"/>
    <w:rsid w:val="0C0B03DF"/>
    <w:rsid w:val="0C8D2D37"/>
    <w:rsid w:val="0C9646AB"/>
    <w:rsid w:val="0D273172"/>
    <w:rsid w:val="0D665167"/>
    <w:rsid w:val="0DBB0F9F"/>
    <w:rsid w:val="0DC64C11"/>
    <w:rsid w:val="0DE95986"/>
    <w:rsid w:val="0FD31DC7"/>
    <w:rsid w:val="0FFB1917"/>
    <w:rsid w:val="10891EF7"/>
    <w:rsid w:val="118B5AC2"/>
    <w:rsid w:val="124B2827"/>
    <w:rsid w:val="125B2CDB"/>
    <w:rsid w:val="12E72FC7"/>
    <w:rsid w:val="13191CCE"/>
    <w:rsid w:val="14033188"/>
    <w:rsid w:val="14A44ACF"/>
    <w:rsid w:val="14C71602"/>
    <w:rsid w:val="15075202"/>
    <w:rsid w:val="155A4B7D"/>
    <w:rsid w:val="158656A1"/>
    <w:rsid w:val="15DA64B9"/>
    <w:rsid w:val="15FF03EB"/>
    <w:rsid w:val="16811B2E"/>
    <w:rsid w:val="16E15D8E"/>
    <w:rsid w:val="179C34CD"/>
    <w:rsid w:val="18D67A54"/>
    <w:rsid w:val="19144F8D"/>
    <w:rsid w:val="193871D7"/>
    <w:rsid w:val="19AF36DA"/>
    <w:rsid w:val="19B338AE"/>
    <w:rsid w:val="19DF6869"/>
    <w:rsid w:val="1A921CCA"/>
    <w:rsid w:val="1B0852F3"/>
    <w:rsid w:val="1B30080B"/>
    <w:rsid w:val="1C71418F"/>
    <w:rsid w:val="1C784425"/>
    <w:rsid w:val="1D1034C4"/>
    <w:rsid w:val="1D1F7ADA"/>
    <w:rsid w:val="1E5B5776"/>
    <w:rsid w:val="1E7B08EE"/>
    <w:rsid w:val="1F8C0AC4"/>
    <w:rsid w:val="1FEE4185"/>
    <w:rsid w:val="205579A5"/>
    <w:rsid w:val="20BE3928"/>
    <w:rsid w:val="2153453F"/>
    <w:rsid w:val="22116B28"/>
    <w:rsid w:val="22AD4D20"/>
    <w:rsid w:val="23212D8F"/>
    <w:rsid w:val="23DF49AE"/>
    <w:rsid w:val="24531634"/>
    <w:rsid w:val="24BC2111"/>
    <w:rsid w:val="251B4793"/>
    <w:rsid w:val="2537197D"/>
    <w:rsid w:val="25F323A7"/>
    <w:rsid w:val="26272E57"/>
    <w:rsid w:val="2641155A"/>
    <w:rsid w:val="26870566"/>
    <w:rsid w:val="26BF041C"/>
    <w:rsid w:val="26D93440"/>
    <w:rsid w:val="27346E3B"/>
    <w:rsid w:val="27B63A33"/>
    <w:rsid w:val="28B80D47"/>
    <w:rsid w:val="28B81E86"/>
    <w:rsid w:val="28D57EFA"/>
    <w:rsid w:val="29D91316"/>
    <w:rsid w:val="2A76540F"/>
    <w:rsid w:val="2B412409"/>
    <w:rsid w:val="2C175425"/>
    <w:rsid w:val="2C2825B7"/>
    <w:rsid w:val="2C976D4D"/>
    <w:rsid w:val="2CCB42EE"/>
    <w:rsid w:val="2D076C1F"/>
    <w:rsid w:val="2D2A2E3D"/>
    <w:rsid w:val="2D6154AD"/>
    <w:rsid w:val="2D9B69EA"/>
    <w:rsid w:val="2DAB19B5"/>
    <w:rsid w:val="2E0D2B41"/>
    <w:rsid w:val="2E2870C7"/>
    <w:rsid w:val="2E5A088F"/>
    <w:rsid w:val="2F5508B8"/>
    <w:rsid w:val="2FA40CAF"/>
    <w:rsid w:val="300E7014"/>
    <w:rsid w:val="302A235F"/>
    <w:rsid w:val="3108162E"/>
    <w:rsid w:val="31542728"/>
    <w:rsid w:val="31A218E4"/>
    <w:rsid w:val="31D47A3B"/>
    <w:rsid w:val="3282172F"/>
    <w:rsid w:val="32CB7817"/>
    <w:rsid w:val="33A26AD4"/>
    <w:rsid w:val="33C11F7C"/>
    <w:rsid w:val="3473085E"/>
    <w:rsid w:val="349F5212"/>
    <w:rsid w:val="34BF4F9B"/>
    <w:rsid w:val="34ED342E"/>
    <w:rsid w:val="34F3419A"/>
    <w:rsid w:val="36084398"/>
    <w:rsid w:val="36183E27"/>
    <w:rsid w:val="36364EAD"/>
    <w:rsid w:val="36367D79"/>
    <w:rsid w:val="36AE15F4"/>
    <w:rsid w:val="371F0F3E"/>
    <w:rsid w:val="37BA17FB"/>
    <w:rsid w:val="383619AA"/>
    <w:rsid w:val="38BA7428"/>
    <w:rsid w:val="39AB3DA1"/>
    <w:rsid w:val="39F341FE"/>
    <w:rsid w:val="3A480403"/>
    <w:rsid w:val="3AC8072D"/>
    <w:rsid w:val="3BDA20D1"/>
    <w:rsid w:val="3CBF6D69"/>
    <w:rsid w:val="3D0D5B46"/>
    <w:rsid w:val="3D6312E5"/>
    <w:rsid w:val="3E402EC6"/>
    <w:rsid w:val="3F0B0787"/>
    <w:rsid w:val="3F1742C5"/>
    <w:rsid w:val="408B07F7"/>
    <w:rsid w:val="410138DA"/>
    <w:rsid w:val="410812F8"/>
    <w:rsid w:val="417304EC"/>
    <w:rsid w:val="41F23E95"/>
    <w:rsid w:val="42AD516C"/>
    <w:rsid w:val="4346085F"/>
    <w:rsid w:val="4372075F"/>
    <w:rsid w:val="43AF6110"/>
    <w:rsid w:val="45024EBC"/>
    <w:rsid w:val="4563439A"/>
    <w:rsid w:val="46B537A6"/>
    <w:rsid w:val="47055C16"/>
    <w:rsid w:val="4813306F"/>
    <w:rsid w:val="48A115CF"/>
    <w:rsid w:val="499C75EF"/>
    <w:rsid w:val="4A3750CD"/>
    <w:rsid w:val="4A3E391C"/>
    <w:rsid w:val="4A4C1661"/>
    <w:rsid w:val="4A5E1161"/>
    <w:rsid w:val="4AB36777"/>
    <w:rsid w:val="4B7709B7"/>
    <w:rsid w:val="4B8C4D06"/>
    <w:rsid w:val="4C606623"/>
    <w:rsid w:val="4CA13A37"/>
    <w:rsid w:val="4D184702"/>
    <w:rsid w:val="4D512CEE"/>
    <w:rsid w:val="4D5B71A3"/>
    <w:rsid w:val="4DAC7D44"/>
    <w:rsid w:val="4F9E1182"/>
    <w:rsid w:val="4FF868A5"/>
    <w:rsid w:val="507819B4"/>
    <w:rsid w:val="50804A5C"/>
    <w:rsid w:val="50FD0847"/>
    <w:rsid w:val="5116549A"/>
    <w:rsid w:val="51A909FB"/>
    <w:rsid w:val="51AD417C"/>
    <w:rsid w:val="524369E9"/>
    <w:rsid w:val="524C7F35"/>
    <w:rsid w:val="5370767B"/>
    <w:rsid w:val="53802C64"/>
    <w:rsid w:val="541D5D26"/>
    <w:rsid w:val="541F50A2"/>
    <w:rsid w:val="54D06247"/>
    <w:rsid w:val="54F265B7"/>
    <w:rsid w:val="55435ED1"/>
    <w:rsid w:val="566045CB"/>
    <w:rsid w:val="56DE295A"/>
    <w:rsid w:val="577E4FDC"/>
    <w:rsid w:val="578F1A4B"/>
    <w:rsid w:val="57903079"/>
    <w:rsid w:val="58D0143C"/>
    <w:rsid w:val="5918386C"/>
    <w:rsid w:val="59845FD3"/>
    <w:rsid w:val="5A215A58"/>
    <w:rsid w:val="5A6F656E"/>
    <w:rsid w:val="5A9560E1"/>
    <w:rsid w:val="5AC0345C"/>
    <w:rsid w:val="5AE00AB7"/>
    <w:rsid w:val="5B2D3E4F"/>
    <w:rsid w:val="5B6A2E37"/>
    <w:rsid w:val="5BA370A5"/>
    <w:rsid w:val="5BFA3989"/>
    <w:rsid w:val="5CBB2A04"/>
    <w:rsid w:val="5EDF73C0"/>
    <w:rsid w:val="5F1F2DC2"/>
    <w:rsid w:val="5F3368DF"/>
    <w:rsid w:val="5F4C39A4"/>
    <w:rsid w:val="5F6D4BF7"/>
    <w:rsid w:val="60096F40"/>
    <w:rsid w:val="60AB4149"/>
    <w:rsid w:val="60D63E4C"/>
    <w:rsid w:val="61A52C02"/>
    <w:rsid w:val="61F31916"/>
    <w:rsid w:val="6206328F"/>
    <w:rsid w:val="62FB5957"/>
    <w:rsid w:val="638745ED"/>
    <w:rsid w:val="63A40BC5"/>
    <w:rsid w:val="64197346"/>
    <w:rsid w:val="64C4018C"/>
    <w:rsid w:val="65A46C74"/>
    <w:rsid w:val="6634329C"/>
    <w:rsid w:val="67913C22"/>
    <w:rsid w:val="685A2969"/>
    <w:rsid w:val="68607D4B"/>
    <w:rsid w:val="69C12057"/>
    <w:rsid w:val="6B471600"/>
    <w:rsid w:val="6C0622F8"/>
    <w:rsid w:val="6C2D3E45"/>
    <w:rsid w:val="6D7C28DA"/>
    <w:rsid w:val="6D8221F2"/>
    <w:rsid w:val="6E4C1959"/>
    <w:rsid w:val="6E7B255A"/>
    <w:rsid w:val="6FE065E9"/>
    <w:rsid w:val="700C5DCC"/>
    <w:rsid w:val="70CE0812"/>
    <w:rsid w:val="70F21BFB"/>
    <w:rsid w:val="71183FEA"/>
    <w:rsid w:val="711F29B2"/>
    <w:rsid w:val="714D3A1E"/>
    <w:rsid w:val="719604EA"/>
    <w:rsid w:val="71C53B35"/>
    <w:rsid w:val="72DC590B"/>
    <w:rsid w:val="73824EB9"/>
    <w:rsid w:val="73BF22B9"/>
    <w:rsid w:val="74286E6A"/>
    <w:rsid w:val="753B4011"/>
    <w:rsid w:val="75617227"/>
    <w:rsid w:val="756737AB"/>
    <w:rsid w:val="759B792B"/>
    <w:rsid w:val="773F3C76"/>
    <w:rsid w:val="79223B91"/>
    <w:rsid w:val="796A1B1E"/>
    <w:rsid w:val="7A7D5B5E"/>
    <w:rsid w:val="7AE93B2F"/>
    <w:rsid w:val="7BFE26ED"/>
    <w:rsid w:val="7C046E35"/>
    <w:rsid w:val="7C511D0F"/>
    <w:rsid w:val="7DBE0551"/>
    <w:rsid w:val="7DD921F6"/>
    <w:rsid w:val="7E1B6957"/>
    <w:rsid w:val="7E353B4A"/>
    <w:rsid w:val="7E6E5291"/>
    <w:rsid w:val="7EC0552E"/>
    <w:rsid w:val="7F00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30"/>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firstLineChars="200"/>
    </w:pPr>
    <w:rPr>
      <w:sz w:val="28"/>
      <w:szCs w:val="28"/>
    </w:rPr>
  </w:style>
  <w:style w:type="paragraph" w:styleId="9">
    <w:name w:val="annotation text"/>
    <w:basedOn w:val="1"/>
    <w:qFormat/>
    <w:uiPriority w:val="0"/>
    <w:pPr>
      <w:jc w:val="left"/>
    </w:pPr>
  </w:style>
  <w:style w:type="paragraph" w:styleId="10">
    <w:name w:val="Body Text"/>
    <w:basedOn w:val="1"/>
    <w:qFormat/>
    <w:uiPriority w:val="0"/>
    <w:rPr>
      <w:rFonts w:ascii="宋体" w:hAnsi="Arial"/>
      <w:sz w:val="28"/>
    </w:rPr>
  </w:style>
  <w:style w:type="paragraph" w:styleId="11">
    <w:name w:val="List 2"/>
    <w:basedOn w:val="1"/>
    <w:qFormat/>
    <w:uiPriority w:val="0"/>
    <w:pPr>
      <w:ind w:left="100" w:leftChars="200" w:hanging="200" w:hanging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qFormat/>
    <w:uiPriority w:val="0"/>
    <w:pPr>
      <w:tabs>
        <w:tab w:val="right" w:leader="dot" w:pos="8835"/>
      </w:tabs>
      <w:ind w:left="210"/>
      <w:jc w:val="left"/>
    </w:pPr>
    <w:rPr>
      <w:smallCaps/>
      <w:szCs w:val="21"/>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0"/>
    <w:rPr>
      <w:b/>
    </w:rPr>
  </w:style>
  <w:style w:type="character" w:styleId="21">
    <w:name w:val="page number"/>
    <w:basedOn w:val="19"/>
    <w:qFormat/>
    <w:uiPriority w:val="0"/>
    <w:rPr>
      <w:rFonts w:hint="default" w:ascii="Times New Roman"/>
    </w:rPr>
  </w:style>
  <w:style w:type="character" w:styleId="22">
    <w:name w:val="FollowedHyperlink"/>
    <w:basedOn w:val="19"/>
    <w:qFormat/>
    <w:uiPriority w:val="0"/>
    <w:rPr>
      <w:color w:val="333333"/>
      <w:u w:val="none"/>
    </w:rPr>
  </w:style>
  <w:style w:type="character" w:styleId="23">
    <w:name w:val="Emphasis"/>
    <w:basedOn w:val="19"/>
    <w:qFormat/>
    <w:uiPriority w:val="0"/>
    <w:rPr>
      <w:i/>
    </w:rPr>
  </w:style>
  <w:style w:type="character" w:styleId="24">
    <w:name w:val="HTML Definition"/>
    <w:basedOn w:val="19"/>
    <w:qFormat/>
    <w:uiPriority w:val="0"/>
    <w:rPr>
      <w:i/>
    </w:rPr>
  </w:style>
  <w:style w:type="character" w:styleId="25">
    <w:name w:val="HTML Acronym"/>
    <w:basedOn w:val="19"/>
    <w:qFormat/>
    <w:uiPriority w:val="0"/>
  </w:style>
  <w:style w:type="character" w:styleId="26">
    <w:name w:val="Hyperlink"/>
    <w:qFormat/>
    <w:uiPriority w:val="0"/>
    <w:rPr>
      <w:color w:val="0000FF"/>
      <w:u w:val="none"/>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29">
    <w:name w:val="样式 标题 2 + Times New Roman 四号 非加粗 段前: 5 磅 段后: 0 磅 行距: 固定值 20..."/>
    <w:basedOn w:val="6"/>
    <w:qFormat/>
    <w:uiPriority w:val="0"/>
    <w:pPr>
      <w:spacing w:before="100" w:after="0" w:line="400" w:lineRule="exact"/>
      <w:ind w:firstLine="0"/>
      <w:jc w:val="both"/>
    </w:pPr>
    <w:rPr>
      <w:rFonts w:ascii="Times New Roman" w:hAnsi="Times New Roman" w:cs="宋体"/>
      <w:b w:val="0"/>
      <w:bCs w:val="0"/>
      <w:kern w:val="0"/>
      <w:sz w:val="28"/>
      <w:szCs w:val="20"/>
    </w:rPr>
  </w:style>
  <w:style w:type="paragraph" w:customStyle="1" w:styleId="30">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p15"/>
    <w:basedOn w:val="1"/>
    <w:qFormat/>
    <w:uiPriority w:val="0"/>
    <w:pPr>
      <w:widowControl/>
      <w:jc w:val="center"/>
    </w:pPr>
    <w:rPr>
      <w:rFonts w:ascii="仿宋_GB2312" w:hAnsi="宋体" w:eastAsia="仿宋_GB2312" w:cs="宋体"/>
      <w:b/>
      <w:bCs/>
      <w:kern w:val="0"/>
      <w:sz w:val="28"/>
      <w:szCs w:val="28"/>
    </w:rPr>
  </w:style>
  <w:style w:type="paragraph" w:customStyle="1" w:styleId="32">
    <w:name w:val="纯文本1"/>
    <w:basedOn w:val="1"/>
    <w:qFormat/>
    <w:uiPriority w:val="0"/>
    <w:pPr>
      <w:widowControl/>
      <w:jc w:val="left"/>
    </w:pPr>
    <w:rPr>
      <w:rFonts w:ascii="宋体" w:hAnsi="Courier New"/>
      <w:szCs w:val="21"/>
    </w:rPr>
  </w:style>
  <w:style w:type="paragraph" w:customStyle="1" w:styleId="33">
    <w:name w:val="Normal_5"/>
    <w:qFormat/>
    <w:uiPriority w:val="0"/>
    <w:rPr>
      <w:rFonts w:ascii="Times New Roman" w:hAnsi="Times New Roman" w:eastAsia="Times New Roman" w:cs="Times New Roman"/>
      <w:sz w:val="24"/>
      <w:szCs w:val="24"/>
      <w:lang w:val="en-US" w:eastAsia="zh-CN" w:bidi="ar-SA"/>
    </w:rPr>
  </w:style>
  <w:style w:type="paragraph" w:customStyle="1" w:styleId="34">
    <w:name w:val="Normal_7"/>
    <w:qFormat/>
    <w:uiPriority w:val="0"/>
    <w:rPr>
      <w:rFonts w:ascii="Times New Roman" w:hAnsi="Times New Roman" w:eastAsia="宋体" w:cs="Times New Roman"/>
      <w:sz w:val="21"/>
      <w:lang w:val="en-US" w:eastAsia="zh-CN" w:bidi="ar-SA"/>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p0"/>
    <w:basedOn w:val="1"/>
    <w:qFormat/>
    <w:uiPriority w:val="0"/>
    <w:pPr>
      <w:widowControl/>
    </w:pPr>
    <w:rPr>
      <w:kern w:val="0"/>
      <w:szCs w:val="21"/>
    </w:rPr>
  </w:style>
  <w:style w:type="character" w:customStyle="1" w:styleId="39">
    <w:name w:val="ico"/>
    <w:basedOn w:val="19"/>
    <w:uiPriority w:val="0"/>
  </w:style>
  <w:style w:type="character" w:customStyle="1" w:styleId="40">
    <w:name w:val="ico1"/>
    <w:basedOn w:val="19"/>
    <w:uiPriority w:val="0"/>
  </w:style>
  <w:style w:type="character" w:customStyle="1" w:styleId="41">
    <w:name w:val="ico2"/>
    <w:basedOn w:val="19"/>
    <w:uiPriority w:val="0"/>
  </w:style>
  <w:style w:type="character" w:customStyle="1" w:styleId="42">
    <w:name w:val="ico3"/>
    <w:basedOn w:val="19"/>
    <w:uiPriority w:val="0"/>
  </w:style>
  <w:style w:type="character" w:customStyle="1" w:styleId="43">
    <w:name w:val="ico4"/>
    <w:basedOn w:val="19"/>
    <w:uiPriority w:val="0"/>
  </w:style>
  <w:style w:type="character" w:customStyle="1" w:styleId="44">
    <w:name w:val="ico5"/>
    <w:basedOn w:val="19"/>
    <w:uiPriority w:val="0"/>
  </w:style>
  <w:style w:type="character" w:customStyle="1" w:styleId="45">
    <w:name w:val="ico6"/>
    <w:basedOn w:val="19"/>
    <w:uiPriority w:val="0"/>
  </w:style>
  <w:style w:type="character" w:customStyle="1" w:styleId="46">
    <w:name w:val="ico7"/>
    <w:basedOn w:val="19"/>
    <w:uiPriority w:val="0"/>
  </w:style>
  <w:style w:type="character" w:customStyle="1" w:styleId="47">
    <w:name w:val="ico8"/>
    <w:basedOn w:val="19"/>
    <w:uiPriority w:val="0"/>
  </w:style>
  <w:style w:type="character" w:customStyle="1" w:styleId="48">
    <w:name w:val="c2"/>
    <w:basedOn w:val="19"/>
    <w:uiPriority w:val="0"/>
  </w:style>
  <w:style w:type="character" w:customStyle="1" w:styleId="49">
    <w:name w:val="c3"/>
    <w:basedOn w:val="19"/>
    <w:uiPriority w:val="0"/>
  </w:style>
  <w:style w:type="character" w:customStyle="1" w:styleId="50">
    <w:name w:val="c1"/>
    <w:basedOn w:val="19"/>
    <w:uiPriority w:val="0"/>
  </w:style>
  <w:style w:type="character" w:customStyle="1" w:styleId="51">
    <w:name w:val="note-content"/>
    <w:basedOn w:val="19"/>
    <w:uiPriority w:val="0"/>
    <w:rPr>
      <w:color w:val="333333"/>
    </w:rPr>
  </w:style>
  <w:style w:type="character" w:customStyle="1" w:styleId="52">
    <w:name w:val="next5"/>
    <w:basedOn w:val="19"/>
    <w:uiPriority w:val="0"/>
  </w:style>
  <w:style w:type="character" w:customStyle="1" w:styleId="53">
    <w:name w:val="ewm"/>
    <w:basedOn w:val="19"/>
    <w:uiPriority w:val="0"/>
    <w:rPr>
      <w:vanish/>
    </w:rPr>
  </w:style>
  <w:style w:type="character" w:customStyle="1" w:styleId="54">
    <w:name w:val="ewm1"/>
    <w:basedOn w:val="19"/>
    <w:uiPriority w:val="0"/>
  </w:style>
  <w:style w:type="character" w:customStyle="1" w:styleId="55">
    <w:name w:val="iem"/>
    <w:basedOn w:val="19"/>
    <w:uiPriority w:val="0"/>
  </w:style>
  <w:style w:type="character" w:customStyle="1" w:styleId="56">
    <w:name w:val="starting"/>
    <w:basedOn w:val="19"/>
    <w:uiPriority w:val="0"/>
    <w:rPr>
      <w:color w:val="339900"/>
    </w:rPr>
  </w:style>
  <w:style w:type="character" w:customStyle="1" w:styleId="57">
    <w:name w:val="starting1"/>
    <w:basedOn w:val="19"/>
    <w:uiPriority w:val="0"/>
    <w:rPr>
      <w:color w:val="339900"/>
    </w:rPr>
  </w:style>
  <w:style w:type="character" w:customStyle="1" w:styleId="58">
    <w:name w:val="buvis"/>
    <w:basedOn w:val="19"/>
    <w:uiPriority w:val="0"/>
    <w:rPr>
      <w:color w:val="999999"/>
    </w:rPr>
  </w:style>
  <w:style w:type="character" w:customStyle="1" w:styleId="59">
    <w:name w:val="buvis1"/>
    <w:basedOn w:val="19"/>
    <w:uiPriority w:val="0"/>
    <w:rPr>
      <w:color w:val="CC0000"/>
    </w:rPr>
  </w:style>
  <w:style w:type="character" w:customStyle="1" w:styleId="60">
    <w:name w:val="tit"/>
    <w:basedOn w:val="19"/>
    <w:uiPriority w:val="0"/>
    <w:rPr>
      <w:sz w:val="27"/>
      <w:szCs w:val="27"/>
    </w:rPr>
  </w:style>
  <w:style w:type="character" w:customStyle="1" w:styleId="61">
    <w:name w:val="tit1"/>
    <w:basedOn w:val="19"/>
    <w:uiPriority w:val="0"/>
  </w:style>
  <w:style w:type="character" w:customStyle="1" w:styleId="62">
    <w:name w:val="tit2"/>
    <w:basedOn w:val="19"/>
    <w:uiPriority w:val="0"/>
    <w:rPr>
      <w:color w:val="164FA6"/>
      <w:sz w:val="21"/>
      <w:szCs w:val="21"/>
    </w:rPr>
  </w:style>
  <w:style w:type="character" w:customStyle="1" w:styleId="63">
    <w:name w:val="tit3"/>
    <w:basedOn w:val="19"/>
    <w:uiPriority w:val="0"/>
    <w:rPr>
      <w:b/>
      <w:color w:val="D63030"/>
    </w:rPr>
  </w:style>
  <w:style w:type="character" w:customStyle="1" w:styleId="64">
    <w:name w:val="hover53"/>
    <w:basedOn w:val="19"/>
    <w:uiPriority w:val="0"/>
    <w:rPr>
      <w:vanish/>
    </w:rPr>
  </w:style>
  <w:style w:type="character" w:customStyle="1" w:styleId="65">
    <w:name w:val="hover54"/>
    <w:basedOn w:val="19"/>
    <w:uiPriority w:val="0"/>
  </w:style>
  <w:style w:type="character" w:customStyle="1" w:styleId="66">
    <w:name w:val="msg-box22"/>
    <w:basedOn w:val="19"/>
    <w:uiPriority w:val="0"/>
  </w:style>
  <w:style w:type="character" w:customStyle="1" w:styleId="67">
    <w:name w:val="msg-box23"/>
    <w:basedOn w:val="19"/>
    <w:uiPriority w:val="0"/>
  </w:style>
  <w:style w:type="character" w:customStyle="1" w:styleId="68">
    <w:name w:val="dt"/>
    <w:basedOn w:val="19"/>
    <w:uiPriority w:val="0"/>
  </w:style>
  <w:style w:type="character" w:customStyle="1" w:styleId="69">
    <w:name w:val="job"/>
    <w:basedOn w:val="19"/>
    <w:uiPriority w:val="0"/>
    <w:rPr>
      <w:color w:val="666666"/>
      <w:sz w:val="21"/>
      <w:szCs w:val="21"/>
    </w:rPr>
  </w:style>
  <w:style w:type="character" w:customStyle="1" w:styleId="70">
    <w:name w:val="job1"/>
    <w:basedOn w:val="19"/>
    <w:uiPriority w:val="0"/>
    <w:rPr>
      <w:color w:val="666666"/>
    </w:rPr>
  </w:style>
  <w:style w:type="character" w:customStyle="1" w:styleId="71">
    <w:name w:val="oem"/>
    <w:basedOn w:val="19"/>
    <w:uiPriority w:val="0"/>
  </w:style>
  <w:style w:type="character" w:customStyle="1" w:styleId="72">
    <w:name w:val="fg"/>
    <w:basedOn w:val="19"/>
    <w:uiPriority w:val="0"/>
  </w:style>
  <w:style w:type="character" w:customStyle="1" w:styleId="73">
    <w:name w:val="hit"/>
    <w:basedOn w:val="19"/>
    <w:uiPriority w:val="0"/>
    <w:rPr>
      <w:rFonts w:ascii="Arial" w:hAnsi="Arial" w:cs="Arial"/>
      <w:vanish/>
      <w:color w:val="EC940E"/>
      <w:sz w:val="18"/>
      <w:szCs w:val="18"/>
    </w:rPr>
  </w:style>
  <w:style w:type="character" w:customStyle="1" w:styleId="74">
    <w:name w:val="gl"/>
    <w:basedOn w:val="19"/>
    <w:uiPriority w:val="0"/>
  </w:style>
  <w:style w:type="character" w:customStyle="1" w:styleId="75">
    <w:name w:val="over6"/>
    <w:basedOn w:val="19"/>
    <w:uiPriority w:val="0"/>
    <w:rPr>
      <w:color w:val="B60000"/>
    </w:rPr>
  </w:style>
  <w:style w:type="character" w:customStyle="1" w:styleId="76">
    <w:name w:val="over7"/>
    <w:basedOn w:val="19"/>
    <w:uiPriority w:val="0"/>
    <w:rPr>
      <w:color w:val="B60000"/>
    </w:rPr>
  </w:style>
  <w:style w:type="character" w:customStyle="1" w:styleId="77">
    <w:name w:val="nostart5"/>
    <w:basedOn w:val="19"/>
    <w:uiPriority w:val="0"/>
    <w:rPr>
      <w:color w:val="FF0000"/>
    </w:rPr>
  </w:style>
  <w:style w:type="character" w:customStyle="1" w:styleId="78">
    <w:name w:val="nostart6"/>
    <w:basedOn w:val="19"/>
    <w:uiPriority w:val="0"/>
    <w:rPr>
      <w:color w:val="FF0000"/>
    </w:rPr>
  </w:style>
  <w:style w:type="character" w:customStyle="1" w:styleId="79">
    <w:name w:val="ly"/>
    <w:basedOn w:val="19"/>
    <w:uiPriority w:val="0"/>
    <w:rPr>
      <w:color w:val="164FA6"/>
    </w:rPr>
  </w:style>
  <w:style w:type="character" w:customStyle="1" w:styleId="80">
    <w:name w:val="spgai"/>
    <w:basedOn w:val="19"/>
    <w:uiPriority w:val="0"/>
    <w:rPr>
      <w:vanish/>
    </w:rPr>
  </w:style>
  <w:style w:type="character" w:customStyle="1" w:styleId="81">
    <w:name w:val="spgai1"/>
    <w:basedOn w:val="19"/>
    <w:uiPriority w:val="0"/>
  </w:style>
  <w:style w:type="character" w:customStyle="1" w:styleId="82">
    <w:name w:val="img_title8"/>
    <w:basedOn w:val="19"/>
    <w:uiPriority w:val="0"/>
    <w:rPr>
      <w:vanish/>
    </w:rPr>
  </w:style>
  <w:style w:type="character" w:customStyle="1" w:styleId="83">
    <w:name w:val="img-title"/>
    <w:basedOn w:val="19"/>
    <w:uiPriority w:val="0"/>
    <w:rPr>
      <w:vanish/>
    </w:rPr>
  </w:style>
  <w:style w:type="character" w:customStyle="1" w:styleId="84">
    <w:name w:val="prev5"/>
    <w:basedOn w:val="19"/>
    <w:uiPriority w:val="0"/>
  </w:style>
  <w:style w:type="character" w:customStyle="1" w:styleId="85">
    <w:name w:val="link11"/>
    <w:basedOn w:val="19"/>
    <w:uiPriority w:val="0"/>
    <w:rPr>
      <w:b/>
      <w:sz w:val="30"/>
      <w:szCs w:val="30"/>
    </w:rPr>
  </w:style>
  <w:style w:type="character" w:customStyle="1" w:styleId="86">
    <w:name w:val="search-keywords"/>
    <w:basedOn w:val="19"/>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6e2853-2ce0-4d27-89f4-5b693e758d56}"/>
        <w:style w:val=""/>
        <w:category>
          <w:name w:val="常规"/>
          <w:gallery w:val="placeholder"/>
        </w:category>
        <w:types>
          <w:type w:val="bbPlcHdr"/>
        </w:types>
        <w:behaviors>
          <w:behavior w:val="content"/>
        </w:behaviors>
        <w:description w:val=""/>
        <w:guid w:val="{3d6e2853-2ce0-4d27-89f4-5b693e758d56}"/>
      </w:docPartPr>
      <w:docPartBody>
        <w:p>
          <w:r>
            <w:rPr>
              <w:color w:val="808080"/>
            </w:rPr>
            <w:t>单击此处输入文字。</w:t>
          </w:r>
        </w:p>
      </w:docPartBody>
    </w:docPart>
    <w:docPart>
      <w:docPartPr>
        <w:name w:val="{1eb809b7-124c-45af-8586-740d901e1c6a}"/>
        <w:style w:val=""/>
        <w:category>
          <w:name w:val="常规"/>
          <w:gallery w:val="placeholder"/>
        </w:category>
        <w:types>
          <w:type w:val="bbPlcHdr"/>
        </w:types>
        <w:behaviors>
          <w:behavior w:val="content"/>
        </w:behaviors>
        <w:description w:val=""/>
        <w:guid w:val="{1eb809b7-124c-45af-8586-740d901e1c6a}"/>
      </w:docPartPr>
      <w:docPartBody>
        <w:p>
          <w:r>
            <w:rPr>
              <w:color w:val="808080"/>
            </w:rPr>
            <w:t>单击此处输入文字。</w:t>
          </w:r>
        </w:p>
      </w:docPartBody>
    </w:docPart>
    <w:docPart>
      <w:docPartPr>
        <w:name w:val="{947905dd-980a-45e1-9615-42bb90948f8c}"/>
        <w:style w:val=""/>
        <w:category>
          <w:name w:val="常规"/>
          <w:gallery w:val="placeholder"/>
        </w:category>
        <w:types>
          <w:type w:val="bbPlcHdr"/>
        </w:types>
        <w:behaviors>
          <w:behavior w:val="content"/>
        </w:behaviors>
        <w:description w:val=""/>
        <w:guid w:val="{947905dd-980a-45e1-9615-42bb90948f8c}"/>
      </w:docPartPr>
      <w:docPartBody>
        <w:p>
          <w:r>
            <w:rPr>
              <w:color w:val="808080"/>
            </w:rPr>
            <w:t>单击此处输入文字。</w:t>
          </w:r>
        </w:p>
      </w:docPartBody>
    </w:docPart>
    <w:docPart>
      <w:docPartPr>
        <w:name w:val="{768bce5d-b74f-494e-b5c6-639153c98471}"/>
        <w:style w:val=""/>
        <w:category>
          <w:name w:val="常规"/>
          <w:gallery w:val="placeholder"/>
        </w:category>
        <w:types>
          <w:type w:val="bbPlcHdr"/>
        </w:types>
        <w:behaviors>
          <w:behavior w:val="content"/>
        </w:behaviors>
        <w:description w:val=""/>
        <w:guid w:val="{768bce5d-b74f-494e-b5c6-639153c98471}"/>
      </w:docPartPr>
      <w:docPartBody>
        <w:p>
          <w:r>
            <w:rPr>
              <w:color w:val="808080"/>
            </w:rPr>
            <w:t>单击此处输入文字。</w:t>
          </w:r>
        </w:p>
      </w:docPartBody>
    </w:docPart>
    <w:docPart>
      <w:docPartPr>
        <w:name w:val="{f7befc00-7ef0-4085-ac85-d4a31365d47b}"/>
        <w:style w:val=""/>
        <w:category>
          <w:name w:val="常规"/>
          <w:gallery w:val="placeholder"/>
        </w:category>
        <w:types>
          <w:type w:val="bbPlcHdr"/>
        </w:types>
        <w:behaviors>
          <w:behavior w:val="content"/>
        </w:behaviors>
        <w:description w:val=""/>
        <w:guid w:val="{f7befc00-7ef0-4085-ac85-d4a31365d47b}"/>
      </w:docPartPr>
      <w:docPartBody>
        <w:p>
          <w:r>
            <w:rPr>
              <w:color w:val="808080"/>
            </w:rPr>
            <w:t>单击此处输入文字。</w:t>
          </w:r>
        </w:p>
      </w:docPartBody>
    </w:docPart>
    <w:docPart>
      <w:docPartPr>
        <w:name w:val="{6f897b86-4d8d-484c-8ce4-9d52eb49ffbf}"/>
        <w:style w:val=""/>
        <w:category>
          <w:name w:val="常规"/>
          <w:gallery w:val="placeholder"/>
        </w:category>
        <w:types>
          <w:type w:val="bbPlcHdr"/>
        </w:types>
        <w:behaviors>
          <w:behavior w:val="content"/>
        </w:behaviors>
        <w:description w:val=""/>
        <w:guid w:val="{6f897b86-4d8d-484c-8ce4-9d52eb49ffbf}"/>
      </w:docPartPr>
      <w:docPartBody>
        <w:p>
          <w:r>
            <w:rPr>
              <w:color w:val="808080"/>
            </w:rPr>
            <w:t>单击此处输入文字。</w:t>
          </w:r>
        </w:p>
      </w:docPartBody>
    </w:docPart>
    <w:docPart>
      <w:docPartPr>
        <w:name w:val="{71a0ae0d-e1e2-4de4-b5e4-a83ab71936eb}"/>
        <w:style w:val=""/>
        <w:category>
          <w:name w:val="常规"/>
          <w:gallery w:val="placeholder"/>
        </w:category>
        <w:types>
          <w:type w:val="bbPlcHdr"/>
        </w:types>
        <w:behaviors>
          <w:behavior w:val="content"/>
        </w:behaviors>
        <w:description w:val=""/>
        <w:guid w:val="{71a0ae0d-e1e2-4de4-b5e4-a83ab71936eb}"/>
      </w:docPartPr>
      <w:docPartBody>
        <w:p>
          <w:r>
            <w:rPr>
              <w:color w:val="808080"/>
            </w:rPr>
            <w:t>单击此处输入文字。</w:t>
          </w:r>
        </w:p>
      </w:docPartBody>
    </w:docPart>
    <w:docPart>
      <w:docPartPr>
        <w:name w:val="{09bf882c-daa1-46b6-a789-430e8ef3efb5}"/>
        <w:style w:val=""/>
        <w:category>
          <w:name w:val="常规"/>
          <w:gallery w:val="placeholder"/>
        </w:category>
        <w:types>
          <w:type w:val="bbPlcHdr"/>
        </w:types>
        <w:behaviors>
          <w:behavior w:val="content"/>
        </w:behaviors>
        <w:description w:val=""/>
        <w:guid w:val="{09bf882c-daa1-46b6-a789-430e8ef3efb5}"/>
      </w:docPartPr>
      <w:docPartBody>
        <w:p>
          <w:r>
            <w:rPr>
              <w:color w:val="808080"/>
            </w:rPr>
            <w:t>单击此处输入文字。</w:t>
          </w:r>
        </w:p>
      </w:docPartBody>
    </w:docPart>
    <w:docPart>
      <w:docPartPr>
        <w:name w:val="{ff04c69e-fce1-4c66-bea3-77533868328c}"/>
        <w:style w:val=""/>
        <w:category>
          <w:name w:val="常规"/>
          <w:gallery w:val="placeholder"/>
        </w:category>
        <w:types>
          <w:type w:val="bbPlcHdr"/>
        </w:types>
        <w:behaviors>
          <w:behavior w:val="content"/>
        </w:behaviors>
        <w:description w:val=""/>
        <w:guid w:val="{ff04c69e-fce1-4c66-bea3-77533868328c}"/>
      </w:docPartPr>
      <w:docPartBody>
        <w:p>
          <w:r>
            <w:rPr>
              <w:color w:val="808080"/>
            </w:rPr>
            <w:t>单击此处输入文字。</w:t>
          </w:r>
        </w:p>
      </w:docPartBody>
    </w:docPart>
    <w:docPart>
      <w:docPartPr>
        <w:name w:val="{3604d2cc-ad60-46c3-b0e8-34cc15b70238}"/>
        <w:style w:val=""/>
        <w:category>
          <w:name w:val="常规"/>
          <w:gallery w:val="placeholder"/>
        </w:category>
        <w:types>
          <w:type w:val="bbPlcHdr"/>
        </w:types>
        <w:behaviors>
          <w:behavior w:val="content"/>
        </w:behaviors>
        <w:description w:val=""/>
        <w:guid w:val="{3604d2cc-ad60-46c3-b0e8-34cc15b70238}"/>
      </w:docPartPr>
      <w:docPartBody>
        <w:p>
          <w:r>
            <w:rPr>
              <w:color w:val="808080"/>
            </w:rPr>
            <w:t>单击此处输入文字。</w:t>
          </w:r>
        </w:p>
      </w:docPartBody>
    </w:docPart>
    <w:docPart>
      <w:docPartPr>
        <w:name w:val="{c8c5e77a-1e57-497d-9b99-965e9033b910}"/>
        <w:style w:val=""/>
        <w:category>
          <w:name w:val="常规"/>
          <w:gallery w:val="placeholder"/>
        </w:category>
        <w:types>
          <w:type w:val="bbPlcHdr"/>
        </w:types>
        <w:behaviors>
          <w:behavior w:val="content"/>
        </w:behaviors>
        <w:description w:val=""/>
        <w:guid w:val="{c8c5e77a-1e57-497d-9b99-965e9033b910}"/>
      </w:docPartPr>
      <w:docPartBody>
        <w:p>
          <w:r>
            <w:rPr>
              <w:color w:val="808080"/>
            </w:rPr>
            <w:t>单击此处输入文字。</w:t>
          </w:r>
        </w:p>
      </w:docPartBody>
    </w:docPart>
    <w:docPart>
      <w:docPartPr>
        <w:name w:val="{3d5ec6da-dd94-47b5-9734-d1758c7e7bd1}"/>
        <w:style w:val=""/>
        <w:category>
          <w:name w:val="常规"/>
          <w:gallery w:val="placeholder"/>
        </w:category>
        <w:types>
          <w:type w:val="bbPlcHdr"/>
        </w:types>
        <w:behaviors>
          <w:behavior w:val="content"/>
        </w:behaviors>
        <w:description w:val=""/>
        <w:guid w:val="{3d5ec6da-dd94-47b5-9734-d1758c7e7bd1}"/>
      </w:docPartPr>
      <w:docPartBody>
        <w:p>
          <w:r>
            <w:rPr>
              <w:color w:val="808080"/>
            </w:rPr>
            <w:t>单击此处输入文字。</w:t>
          </w:r>
        </w:p>
      </w:docPartBody>
    </w:docPart>
    <w:docPart>
      <w:docPartPr>
        <w:name w:val="{5547e3f9-360e-42ec-88dc-4e4ce1c7bc89}"/>
        <w:style w:val=""/>
        <w:category>
          <w:name w:val="常规"/>
          <w:gallery w:val="placeholder"/>
        </w:category>
        <w:types>
          <w:type w:val="bbPlcHdr"/>
        </w:types>
        <w:behaviors>
          <w:behavior w:val="content"/>
        </w:behaviors>
        <w:description w:val=""/>
        <w:guid w:val="{5547e3f9-360e-42ec-88dc-4e4ce1c7bc89}"/>
      </w:docPartPr>
      <w:docPartBody>
        <w:p>
          <w:r>
            <w:rPr>
              <w:color w:val="808080"/>
            </w:rPr>
            <w:t>单击此处输入文字。</w:t>
          </w:r>
        </w:p>
      </w:docPartBody>
    </w:docPart>
    <w:docPart>
      <w:docPartPr>
        <w:name w:val="{c15c123c-d4b5-44da-80ab-14ba59d37f4d}"/>
        <w:style w:val=""/>
        <w:category>
          <w:name w:val="常规"/>
          <w:gallery w:val="placeholder"/>
        </w:category>
        <w:types>
          <w:type w:val="bbPlcHdr"/>
        </w:types>
        <w:behaviors>
          <w:behavior w:val="content"/>
        </w:behaviors>
        <w:description w:val=""/>
        <w:guid w:val="{c15c123c-d4b5-44da-80ab-14ba59d37f4d}"/>
      </w:docPartPr>
      <w:docPartBody>
        <w:p>
          <w:r>
            <w:rPr>
              <w:color w:val="808080"/>
            </w:rPr>
            <w:t>单击此处输入文字。</w:t>
          </w:r>
        </w:p>
      </w:docPartBody>
    </w:docPart>
    <w:docPart>
      <w:docPartPr>
        <w:name w:val="{0bd4b027-7669-430d-bad5-31d84cf170c2}"/>
        <w:style w:val=""/>
        <w:category>
          <w:name w:val="常规"/>
          <w:gallery w:val="placeholder"/>
        </w:category>
        <w:types>
          <w:type w:val="bbPlcHdr"/>
        </w:types>
        <w:behaviors>
          <w:behavior w:val="content"/>
        </w:behaviors>
        <w:description w:val=""/>
        <w:guid w:val="{0bd4b027-7669-430d-bad5-31d84cf170c2}"/>
      </w:docPartPr>
      <w:docPartBody>
        <w:p>
          <w:r>
            <w:rPr>
              <w:color w:val="808080"/>
            </w:rPr>
            <w:t>单击此处输入文字。</w:t>
          </w:r>
        </w:p>
      </w:docPartBody>
    </w:docPart>
    <w:docPart>
      <w:docPartPr>
        <w:name w:val="{33540991-8f46-42d8-a2f1-c428762f73e9}"/>
        <w:style w:val=""/>
        <w:category>
          <w:name w:val="常规"/>
          <w:gallery w:val="placeholder"/>
        </w:category>
        <w:types>
          <w:type w:val="bbPlcHdr"/>
        </w:types>
        <w:behaviors>
          <w:behavior w:val="content"/>
        </w:behaviors>
        <w:description w:val=""/>
        <w:guid w:val="{33540991-8f46-42d8-a2f1-c428762f73e9}"/>
      </w:docPartPr>
      <w:docPartBody>
        <w:p>
          <w:r>
            <w:rPr>
              <w:color w:val="808080"/>
            </w:rPr>
            <w:t>单击此处输入文字。</w:t>
          </w:r>
        </w:p>
      </w:docPartBody>
    </w:docPart>
    <w:docPart>
      <w:docPartPr>
        <w:name w:val="{d8a8b2d0-a3e8-4857-986b-128b1b3500b2}"/>
        <w:style w:val=""/>
        <w:category>
          <w:name w:val="常规"/>
          <w:gallery w:val="placeholder"/>
        </w:category>
        <w:types>
          <w:type w:val="bbPlcHdr"/>
        </w:types>
        <w:behaviors>
          <w:behavior w:val="content"/>
        </w:behaviors>
        <w:description w:val=""/>
        <w:guid w:val="{d8a8b2d0-a3e8-4857-986b-128b1b3500b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2019-03-19T08:46:00Z</dcterms:created>
  <dc:creator>NTKO</dc:creator>
  <cp:lastModifiedBy>邢燕燕</cp:lastModifiedBy>
  <cp:lastPrinted>2019-06-05T02:47:00Z</cp:lastPrinted>
  <dcterms:modified xsi:type="dcterms:W3CDTF">2019-07-24T07:56:31Z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