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ind w:left="-84" w:leftChars="-40" w:right="-63" w:rightChars="-30"/>
        <w:jc w:val="center"/>
        <w:rPr>
          <w:rFonts w:ascii="方正小标宋简体" w:hAnsi="华文中宋" w:eastAsia="方正小标宋简体"/>
          <w:sz w:val="44"/>
          <w:szCs w:val="44"/>
        </w:rPr>
      </w:pPr>
    </w:p>
    <w:p>
      <w:pPr>
        <w:snapToGrid w:val="0"/>
        <w:ind w:left="-84" w:leftChars="-40" w:right="-63" w:rightChars="-30"/>
        <w:jc w:val="center"/>
        <w:rPr>
          <w:rFonts w:ascii="方正小标宋简体" w:hAnsi="华文中宋" w:eastAsia="方正小标宋简体"/>
          <w:sz w:val="44"/>
          <w:szCs w:val="44"/>
        </w:rPr>
      </w:pPr>
      <w:r>
        <w:rPr>
          <w:rFonts w:hint="eastAsia" w:ascii="方正小标宋简体" w:hAnsi="华文中宋" w:eastAsia="方正小标宋简体"/>
          <w:sz w:val="44"/>
          <w:szCs w:val="44"/>
        </w:rPr>
        <w:t>阜阳师范大学绩效工资分配办法</w:t>
      </w:r>
    </w:p>
    <w:p>
      <w:pPr>
        <w:snapToGrid w:val="0"/>
        <w:ind w:firstLine="630"/>
        <w:rPr>
          <w:rFonts w:ascii="仿宋_GB2312" w:eastAsia="仿宋_GB2312"/>
          <w:sz w:val="32"/>
          <w:szCs w:val="32"/>
        </w:rPr>
      </w:pPr>
    </w:p>
    <w:p>
      <w:pPr>
        <w:spacing w:line="540" w:lineRule="exact"/>
        <w:ind w:firstLine="630"/>
        <w:rPr>
          <w:rFonts w:ascii="黑体" w:hAnsi="黑体" w:eastAsia="黑体"/>
          <w:sz w:val="32"/>
          <w:szCs w:val="32"/>
        </w:rPr>
      </w:pPr>
      <w:r>
        <w:rPr>
          <w:rFonts w:hint="eastAsia" w:ascii="仿宋_GB2312" w:eastAsia="仿宋_GB2312"/>
          <w:sz w:val="32"/>
          <w:szCs w:val="32"/>
        </w:rPr>
        <w:t>为进一步深化我校收入分配制度改革，充分发挥绩效工资的激励导向作用，不断健全和完善符合高校特点、体现校院两级管理和分类分级管理的收入分配机制，推进学校各项事业科学发展，根据国务院办公厅《关于深化事业单位工作人员收入分配制度改革的意见》（国办发〔2011〕37号）以及《安徽省人民政府办公厅转发省人力资源社会保障厅省财政厅关于其他事业单位绩效工资实施意见的通知》（皖政办〔2012〕7号）等文件精神，结合我校实际情况，特制定本办法。</w:t>
      </w:r>
    </w:p>
    <w:p>
      <w:pPr>
        <w:spacing w:line="540" w:lineRule="exact"/>
        <w:ind w:firstLine="640" w:firstLineChars="200"/>
        <w:rPr>
          <w:rFonts w:ascii="黑体" w:eastAsia="黑体"/>
          <w:sz w:val="32"/>
          <w:szCs w:val="32"/>
        </w:rPr>
      </w:pPr>
      <w:r>
        <w:rPr>
          <w:rFonts w:hint="eastAsia" w:ascii="黑体" w:eastAsia="黑体"/>
          <w:sz w:val="32"/>
          <w:szCs w:val="32"/>
        </w:rPr>
        <w:t>一、指导思想</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以习近平新时代</w:t>
      </w:r>
      <w:r>
        <w:rPr>
          <w:rFonts w:hint="eastAsia" w:ascii="仿宋_GB2312" w:eastAsia="仿宋_GB2312"/>
          <w:spacing w:val="-4"/>
          <w:sz w:val="32"/>
          <w:szCs w:val="32"/>
        </w:rPr>
        <w:t>中国特色社会主义思想为指导，坚持以人为本，强化岗位管理，注重绩效考核，逐步建立重实绩、重贡献的激励竞争机制，吸引和稳定高层次人才，</w:t>
      </w:r>
      <w:r>
        <w:rPr>
          <w:rFonts w:ascii="仿宋_GB2312" w:eastAsia="仿宋_GB2312"/>
          <w:spacing w:val="-4"/>
          <w:sz w:val="32"/>
          <w:szCs w:val="32"/>
        </w:rPr>
        <w:t>充分</w:t>
      </w:r>
      <w:r>
        <w:rPr>
          <w:rFonts w:hint="eastAsia" w:ascii="仿宋_GB2312" w:eastAsia="仿宋_GB2312"/>
          <w:spacing w:val="-4"/>
          <w:sz w:val="32"/>
          <w:szCs w:val="32"/>
        </w:rPr>
        <w:t>调动各类人员工作积极性和创造性，促进学校科学发展，不断增强办学活力。</w:t>
      </w:r>
    </w:p>
    <w:p>
      <w:pPr>
        <w:spacing w:line="540" w:lineRule="exact"/>
        <w:ind w:firstLine="640" w:firstLineChars="200"/>
        <w:rPr>
          <w:rFonts w:ascii="黑体" w:eastAsia="黑体"/>
          <w:sz w:val="32"/>
          <w:szCs w:val="32"/>
        </w:rPr>
      </w:pPr>
      <w:r>
        <w:rPr>
          <w:rFonts w:hint="eastAsia" w:ascii="黑体" w:eastAsia="黑体"/>
          <w:sz w:val="32"/>
          <w:szCs w:val="32"/>
        </w:rPr>
        <w:t>二、组织领导</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学校</w:t>
      </w:r>
      <w:r>
        <w:rPr>
          <w:rFonts w:hint="eastAsia" w:ascii="仿宋_GB2312" w:eastAsia="仿宋_GB2312"/>
          <w:spacing w:val="-4"/>
          <w:sz w:val="32"/>
          <w:szCs w:val="32"/>
        </w:rPr>
        <w:t>绩效工资工作领导小组负责学校绩效工资分配工作。绩效工资工作领导小组办公室设在人事处，负责处理绩效工资分配工作中具体事项。各单位的绩效工资工作领导小组负责本单位的绩效工资分配工作。</w:t>
      </w:r>
    </w:p>
    <w:p>
      <w:pPr>
        <w:spacing w:line="540" w:lineRule="exact"/>
        <w:ind w:firstLine="800" w:firstLineChars="250"/>
        <w:rPr>
          <w:rFonts w:ascii="黑体" w:eastAsia="黑体"/>
          <w:sz w:val="32"/>
          <w:szCs w:val="32"/>
        </w:rPr>
      </w:pPr>
      <w:r>
        <w:rPr>
          <w:rFonts w:hint="eastAsia" w:ascii="黑体" w:eastAsia="黑体"/>
          <w:sz w:val="32"/>
          <w:szCs w:val="32"/>
        </w:rPr>
        <w:t>三、基本原则</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（一）以岗定薪，岗变薪变。绩效工资与聘任的岗位等级、工作业绩、实际贡献紧密联系。以岗定责，以岗定薪，岗变薪变，责利统一。</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分类考核，优绩优酬。根据专业技术、管理、工勤等岗位的不同特点，实行分类考核，考核结果与绩效工资分配相结合，坚持多劳多得、优绩优酬，重点向教学科研岗位、业务骨干和做出突出贡献的人员倾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（三）统筹兼顾，注重公平。按照上级绩效工资分配政策的规定，坚持效率与公平兼顾的绩效分配原则，科学制定各类各级岗位的绩效工资水平。</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（四）量入为出，总量控制。结合学校当年财力和可持续发展的要求，在核定的绩效工资总额内进行绩效分配。</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两级管理、各负其责。学校对绩效工资分配实行宏观管理、总量控制、监督检查。各单位根据本单位实际情况具体实施，体现“两级管理、二次分配”，实现管理重心下移，加大二级单位对单位内部奖励性绩效工资的管理和分配权限。</w:t>
      </w:r>
    </w:p>
    <w:p>
      <w:pPr>
        <w:spacing w:line="540" w:lineRule="exact"/>
        <w:ind w:firstLine="640" w:firstLineChars="200"/>
        <w:rPr>
          <w:rFonts w:ascii="黑体" w:eastAsia="黑体"/>
          <w:sz w:val="32"/>
          <w:szCs w:val="32"/>
        </w:rPr>
      </w:pPr>
      <w:r>
        <w:rPr>
          <w:rFonts w:hint="eastAsia" w:ascii="黑体" w:eastAsia="黑体"/>
          <w:sz w:val="32"/>
          <w:szCs w:val="32"/>
        </w:rPr>
        <w:t>四、实施范围</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学校在编在岗和人事代理人员。</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信息工程学院、教育集团自行制定绩效工资分配办法，报学校批准后实施，需要上报省教育厅、人社厅批准的，按规定程序报批后实施。附小按义务教育学校绩效工资实施办法制定方案，报学校批准后执行。</w:t>
      </w:r>
    </w:p>
    <w:p>
      <w:pPr>
        <w:widowControl/>
        <w:spacing w:line="540" w:lineRule="exact"/>
        <w:ind w:firstLine="787" w:firstLineChars="246"/>
        <w:rPr>
          <w:rFonts w:ascii="黑体" w:eastAsia="黑体"/>
          <w:sz w:val="32"/>
          <w:szCs w:val="32"/>
        </w:rPr>
      </w:pPr>
      <w:r>
        <w:rPr>
          <w:rFonts w:hint="eastAsia" w:ascii="黑体" w:eastAsia="黑体"/>
          <w:sz w:val="32"/>
          <w:szCs w:val="32"/>
        </w:rPr>
        <w:t>五、绩效工资构成和分类</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（一）构成</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绩效工资分为基础性绩效工资和奖励性绩效工资两部分。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基础性绩效工资是用于支付受聘各类各级岗位的教职工完成岗位目标任务的薪酬，主要体现区域经济发展水平、物价水平、岗位职责和目标任务完成情况等因素，约占绩效工资总量的65%，根据考核考勤情况发放。</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基础性绩效工资简称基础津贴。</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2．奖励性绩效工资是用于激励受聘各类各级岗位的教职工高质量、高水平完成和超额完成工作任务的薪酬，主要体现工作量的实际贡献等因素，约占绩效工资总量的35%，根据绩效考核结果发放。</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奖励性绩效工资设立：</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（1）业绩津贴：按教学科研、教辅、管理、工勤等分为四类岗位业绩津贴，是奖励性绩效工资的主体。</w:t>
      </w:r>
    </w:p>
    <w:p>
      <w:pPr>
        <w:pStyle w:val="2"/>
        <w:spacing w:line="540" w:lineRule="exact"/>
        <w:rPr>
          <w:rFonts w:ascii="仿宋_GB2312" w:eastAsia="仿宋_GB2312"/>
          <w:sz w:val="32"/>
          <w:szCs w:val="32"/>
        </w:rPr>
      </w:pPr>
      <w:r>
        <w:rPr>
          <w:rFonts w:hint="eastAsia" w:ascii="仿宋_GB2312" w:eastAsia="仿宋_GB2312"/>
          <w:sz w:val="32"/>
          <w:szCs w:val="32"/>
        </w:rPr>
        <w:t xml:space="preserve">    （2）超课时津贴：完成额定教学工作量（标准课时，下同）以外的教学工作量而给予的补贴。</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（3）超工作量津贴：是指管理岗位、其他专业技术岗位和工勤技能岗位人员超额定工作量学校给予的补贴。</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（4）责任津贴：为加强管理工作，建设创新型管理队伍，学校为处级以上领导干部给予工作补贴，同时限制其承担教学工作的数量。</w:t>
      </w:r>
    </w:p>
    <w:p>
      <w:pPr>
        <w:widowControl/>
        <w:spacing w:line="540" w:lineRule="exact"/>
        <w:ind w:firstLine="620" w:firstLineChars="194"/>
        <w:rPr>
          <w:rFonts w:ascii="仿宋_GB2312" w:eastAsia="仿宋_GB2312"/>
          <w:sz w:val="32"/>
          <w:szCs w:val="32"/>
        </w:rPr>
      </w:pPr>
      <w:r>
        <w:rPr>
          <w:rFonts w:hint="eastAsia" w:ascii="仿宋_GB2312" w:eastAsia="仿宋_GB2312"/>
          <w:sz w:val="32"/>
          <w:szCs w:val="32"/>
        </w:rPr>
        <w:t>（5）校内公共服务津贴: 教职工所从事的学校及各单位举办的各类评审评选、咨询论证、指导学生活动、报告讲座等事项。</w:t>
      </w:r>
    </w:p>
    <w:p>
      <w:pPr>
        <w:widowControl/>
        <w:spacing w:line="540" w:lineRule="exact"/>
        <w:ind w:firstLine="620" w:firstLineChars="194"/>
        <w:rPr>
          <w:rFonts w:ascii="仿宋_GB2312" w:eastAsia="仿宋_GB2312"/>
          <w:sz w:val="32"/>
          <w:szCs w:val="32"/>
        </w:rPr>
      </w:pPr>
      <w:r>
        <w:rPr>
          <w:rFonts w:hint="eastAsia" w:ascii="仿宋_GB2312" w:eastAsia="仿宋_GB2312"/>
          <w:sz w:val="32"/>
          <w:szCs w:val="32"/>
        </w:rPr>
        <w:t>（二）分类</w:t>
      </w:r>
    </w:p>
    <w:p>
      <w:pPr>
        <w:widowControl/>
        <w:spacing w:line="540" w:lineRule="exact"/>
        <w:ind w:firstLine="620" w:firstLineChars="194"/>
        <w:rPr>
          <w:rFonts w:ascii="仿宋_GB2312" w:eastAsia="仿宋_GB2312"/>
          <w:sz w:val="32"/>
          <w:szCs w:val="32"/>
        </w:rPr>
      </w:pPr>
      <w:r>
        <w:rPr>
          <w:rFonts w:hint="eastAsia" w:ascii="仿宋_GB2312" w:eastAsia="仿宋_GB2312"/>
          <w:sz w:val="32"/>
          <w:szCs w:val="32"/>
        </w:rPr>
        <w:t>1．根据高校的工作性质和省人社厅批准的岗位设置方案，绩效工资按照教职工所聘任的岗位进行分类分级核算：专业技术岗位绩效工资（教学科研岗位设首席教授、2－13级，其他系列岗位设3-13级），管理岗位绩效工资（设3－10级），工勤技能岗位绩效工资（设2－5级、普工）。</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按照皖政办〔2012〕7号文件要求，除国家统一规定的津贴补贴项目保留之外，原有的年终一次性奖金、工资表中的津补贴（岗位补贴、保留津贴、煤贴、职务补贴、预发工资性补贴、回补）、校内津补贴等归并到绩效工资中。</w:t>
      </w:r>
    </w:p>
    <w:p>
      <w:pPr>
        <w:widowControl/>
        <w:spacing w:line="540" w:lineRule="exact"/>
        <w:ind w:firstLine="627" w:firstLineChars="196"/>
        <w:rPr>
          <w:rFonts w:ascii="黑体" w:eastAsia="黑体"/>
          <w:sz w:val="32"/>
          <w:szCs w:val="32"/>
        </w:rPr>
      </w:pPr>
      <w:r>
        <w:rPr>
          <w:rFonts w:hint="eastAsia" w:ascii="黑体" w:eastAsia="黑体"/>
          <w:sz w:val="32"/>
          <w:szCs w:val="32"/>
        </w:rPr>
        <w:t>六、分配方式</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（一）学校按规定测算出每年的绩效工资总量；</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基础性绩效工资和责任津贴由学校统筹发放，奖励性绩效工资按二级单位应有教职工编制数切分给二级单位，由二级单位进行二次分配（详见附件《人员编制计算说明》）；二级单位应有教职工编制数核算遵照以下原则：</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教学学院各类岗位空编数打通使用；（2）对于存在空编的教学学院，空编补贴比例保持20%不变，用于教学学院奖励性绩效工资分配。剩余部分的50%，经学校同意可以用于外聘教师报酬，不计入单位绩效工资总量。科研平台不设空编补贴；（3）各类缺编人员按照讲师三级标准拨款，在岗时间视为12个月。</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（三）机关教辅人员的奖励性绩效工资（含加班费、劳务费，不含各类奖励）按教学学院实际人均数的93%确定。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处级及以上干部责任津贴由组织部单独核发，不纳入上述计算。</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机关教辅人员有双岗身份的，可以由本人选择其中一个岗位计算奖励性绩效。在聘期内，有一个年度选择专业技术岗兑现奖励性绩效工资的，整个聘期应当按照对应的专业技术岗的科研考核要求进行考核。</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未经学校绩效工资工作领导小组研究、校长办公会审议、党委常委会批准，机关教辅部门不得要求教学学院在学校规定的岗位之外设置特定专职秘书岗位，机关教辅部门不得要求教学学院在学校规定之外将机关教辅部门安排的工作从绩效工资中单独切块，全面严肃执行学校绩效考核和分配制度。</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（五）教务处统一负责全校所有课程的教学管理，并全部纳入学校绩效工资发放范围。</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形势政策课、就业指导课、国防教育课、创新创业教育课、大学生心理健康教育等课程，由牵头部门负责师资队伍建设、课程建设、教学工作落实及其它具体管理工作。各教学学院自主从牵头部门认可的师资库选聘教师安排授课，并发放课时费。</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（六）关于厅级领导干部的绩效工资，严格按照上级和学校规定执行。</w:t>
      </w:r>
    </w:p>
    <w:p>
      <w:pPr>
        <w:widowControl/>
        <w:spacing w:line="540" w:lineRule="exact"/>
        <w:ind w:firstLine="620" w:firstLineChars="194"/>
        <w:rPr>
          <w:rFonts w:ascii="仿宋_GB2312" w:eastAsia="仿宋_GB2312"/>
          <w:sz w:val="32"/>
          <w:szCs w:val="32"/>
        </w:rPr>
      </w:pPr>
      <w:r>
        <w:rPr>
          <w:rFonts w:hint="eastAsia" w:ascii="仿宋_GB2312" w:eastAsia="仿宋_GB2312"/>
          <w:sz w:val="32"/>
          <w:szCs w:val="32"/>
        </w:rPr>
        <w:t>（七）信息工程学院绩效工资总量按照学校绩效工资总量测算方式计算出应划拨绩效工资总量，由信息工程学院进行二次分配。</w:t>
      </w:r>
    </w:p>
    <w:p>
      <w:pPr>
        <w:spacing w:line="540" w:lineRule="exact"/>
        <w:ind w:firstLine="640" w:firstLineChars="200"/>
        <w:rPr>
          <w:rFonts w:ascii="黑体" w:eastAsia="黑体"/>
          <w:sz w:val="32"/>
          <w:szCs w:val="32"/>
        </w:rPr>
      </w:pPr>
      <w:r>
        <w:rPr>
          <w:rFonts w:hint="eastAsia" w:ascii="黑体" w:eastAsia="黑体"/>
          <w:sz w:val="32"/>
          <w:szCs w:val="32"/>
        </w:rPr>
        <w:t>七、基础性绩效工资分配办法</w:t>
      </w:r>
    </w:p>
    <w:p>
      <w:pPr>
        <w:spacing w:line="540" w:lineRule="exact"/>
        <w:ind w:firstLine="576" w:firstLineChars="180"/>
        <w:rPr>
          <w:rFonts w:ascii="仿宋_GB2312" w:eastAsia="仿宋_GB2312"/>
          <w:sz w:val="32"/>
          <w:szCs w:val="32"/>
        </w:rPr>
      </w:pPr>
      <w:r>
        <w:rPr>
          <w:rFonts w:hint="eastAsia" w:ascii="仿宋_GB2312" w:eastAsia="仿宋_GB2312"/>
          <w:sz w:val="32"/>
          <w:szCs w:val="32"/>
        </w:rPr>
        <w:t>（一）基础性绩效工资（基础津贴）发放标准</w:t>
      </w:r>
    </w:p>
    <w:tbl>
      <w:tblPr>
        <w:tblStyle w:val="8"/>
        <w:tblW w:w="8835" w:type="dxa"/>
        <w:tblInd w:w="93" w:type="dxa"/>
        <w:tblLayout w:type="fixed"/>
        <w:tblCellMar>
          <w:top w:w="0" w:type="dxa"/>
          <w:left w:w="108" w:type="dxa"/>
          <w:bottom w:w="0" w:type="dxa"/>
          <w:right w:w="108" w:type="dxa"/>
        </w:tblCellMar>
      </w:tblPr>
      <w:tblGrid>
        <w:gridCol w:w="2894"/>
        <w:gridCol w:w="18"/>
        <w:gridCol w:w="1781"/>
        <w:gridCol w:w="1979"/>
        <w:gridCol w:w="6"/>
        <w:gridCol w:w="2157"/>
      </w:tblGrid>
      <w:tr>
        <w:tblPrEx>
          <w:tblCellMar>
            <w:top w:w="0" w:type="dxa"/>
            <w:left w:w="108" w:type="dxa"/>
            <w:bottom w:w="0" w:type="dxa"/>
            <w:right w:w="108" w:type="dxa"/>
          </w:tblCellMar>
        </w:tblPrEx>
        <w:trPr>
          <w:trHeight w:val="397" w:hRule="atLeast"/>
        </w:trPr>
        <w:tc>
          <w:tcPr>
            <w:tcW w:w="469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教学科研系列专业技术岗位</w:t>
            </w:r>
          </w:p>
        </w:tc>
        <w:tc>
          <w:tcPr>
            <w:tcW w:w="4142" w:type="dxa"/>
            <w:gridSpan w:val="3"/>
            <w:tcBorders>
              <w:top w:val="single" w:color="auto" w:sz="4" w:space="0"/>
              <w:left w:val="nil"/>
              <w:bottom w:val="single" w:color="auto" w:sz="4" w:space="0"/>
              <w:right w:val="single" w:color="000000" w:sz="4" w:space="0"/>
            </w:tcBorders>
            <w:shd w:val="clear" w:color="auto" w:fill="auto"/>
            <w:vAlign w:val="center"/>
          </w:tcPr>
          <w:p>
            <w:pPr>
              <w:widowControl/>
              <w:ind w:right="430" w:rightChars="205"/>
              <w:jc w:val="center"/>
              <w:rPr>
                <w:rFonts w:ascii="宋体" w:hAnsi="宋体" w:cs="宋体"/>
                <w:kern w:val="0"/>
                <w:szCs w:val="21"/>
              </w:rPr>
            </w:pPr>
            <w:r>
              <w:rPr>
                <w:rFonts w:hint="eastAsia" w:ascii="宋体" w:hAnsi="宋体" w:cs="宋体"/>
                <w:kern w:val="0"/>
                <w:szCs w:val="21"/>
              </w:rPr>
              <w:t xml:space="preserve">    其他系列专业技术岗位</w:t>
            </w:r>
          </w:p>
        </w:tc>
      </w:tr>
      <w:tr>
        <w:tblPrEx>
          <w:tblCellMar>
            <w:top w:w="0" w:type="dxa"/>
            <w:left w:w="108" w:type="dxa"/>
            <w:bottom w:w="0" w:type="dxa"/>
            <w:right w:w="108" w:type="dxa"/>
          </w:tblCellMar>
        </w:tblPrEx>
        <w:trPr>
          <w:trHeight w:val="397" w:hRule="atLeast"/>
        </w:trPr>
        <w:tc>
          <w:tcPr>
            <w:tcW w:w="289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职  级</w:t>
            </w:r>
          </w:p>
        </w:tc>
        <w:tc>
          <w:tcPr>
            <w:tcW w:w="179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月计分标准</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职  级</w:t>
            </w:r>
          </w:p>
        </w:tc>
        <w:tc>
          <w:tcPr>
            <w:tcW w:w="215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月计分标准</w:t>
            </w:r>
          </w:p>
        </w:tc>
      </w:tr>
      <w:tr>
        <w:tblPrEx>
          <w:tblCellMar>
            <w:top w:w="0" w:type="dxa"/>
            <w:left w:w="108" w:type="dxa"/>
            <w:bottom w:w="0" w:type="dxa"/>
            <w:right w:w="108" w:type="dxa"/>
          </w:tblCellMar>
        </w:tblPrEx>
        <w:trPr>
          <w:trHeight w:val="397" w:hRule="atLeast"/>
        </w:trPr>
        <w:tc>
          <w:tcPr>
            <w:tcW w:w="289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首席教授</w:t>
            </w:r>
          </w:p>
        </w:tc>
        <w:tc>
          <w:tcPr>
            <w:tcW w:w="179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70</w:t>
            </w:r>
          </w:p>
        </w:tc>
        <w:tc>
          <w:tcPr>
            <w:tcW w:w="1985" w:type="dxa"/>
            <w:gridSpan w:val="2"/>
            <w:vMerge w:val="restart"/>
            <w:tcBorders>
              <w:top w:val="nil"/>
              <w:left w:val="nil"/>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xml:space="preserve"> </w:t>
            </w:r>
          </w:p>
        </w:tc>
        <w:tc>
          <w:tcPr>
            <w:tcW w:w="2157" w:type="dxa"/>
            <w:vMerge w:val="restart"/>
            <w:tcBorders>
              <w:top w:val="nil"/>
              <w:left w:val="nil"/>
              <w:right w:val="single" w:color="auto" w:sz="4" w:space="0"/>
            </w:tcBorders>
            <w:shd w:val="clear" w:color="auto" w:fill="auto"/>
            <w:noWrap/>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397" w:hRule="atLeast"/>
        </w:trPr>
        <w:tc>
          <w:tcPr>
            <w:tcW w:w="289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正高二级</w:t>
            </w:r>
          </w:p>
        </w:tc>
        <w:tc>
          <w:tcPr>
            <w:tcW w:w="1799"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64</w:t>
            </w:r>
          </w:p>
        </w:tc>
        <w:tc>
          <w:tcPr>
            <w:tcW w:w="1985" w:type="dxa"/>
            <w:gridSpan w:val="2"/>
            <w:vMerge w:val="continue"/>
            <w:tcBorders>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2157" w:type="dxa"/>
            <w:vMerge w:val="continue"/>
            <w:tcBorders>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397" w:hRule="atLeast"/>
        </w:trPr>
        <w:tc>
          <w:tcPr>
            <w:tcW w:w="289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正高三级</w:t>
            </w:r>
          </w:p>
        </w:tc>
        <w:tc>
          <w:tcPr>
            <w:tcW w:w="179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正高三级</w:t>
            </w:r>
          </w:p>
        </w:tc>
        <w:tc>
          <w:tcPr>
            <w:tcW w:w="215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58</w:t>
            </w:r>
          </w:p>
        </w:tc>
      </w:tr>
      <w:tr>
        <w:tblPrEx>
          <w:tblCellMar>
            <w:top w:w="0" w:type="dxa"/>
            <w:left w:w="108" w:type="dxa"/>
            <w:bottom w:w="0" w:type="dxa"/>
            <w:right w:w="108" w:type="dxa"/>
          </w:tblCellMar>
        </w:tblPrEx>
        <w:trPr>
          <w:trHeight w:val="397" w:hRule="atLeast"/>
        </w:trPr>
        <w:tc>
          <w:tcPr>
            <w:tcW w:w="289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正高四级</w:t>
            </w:r>
          </w:p>
        </w:tc>
        <w:tc>
          <w:tcPr>
            <w:tcW w:w="179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55</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正高四级</w:t>
            </w:r>
          </w:p>
        </w:tc>
        <w:tc>
          <w:tcPr>
            <w:tcW w:w="215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54</w:t>
            </w:r>
          </w:p>
        </w:tc>
      </w:tr>
      <w:tr>
        <w:tblPrEx>
          <w:tblCellMar>
            <w:top w:w="0" w:type="dxa"/>
            <w:left w:w="108" w:type="dxa"/>
            <w:bottom w:w="0" w:type="dxa"/>
            <w:right w:w="108" w:type="dxa"/>
          </w:tblCellMar>
        </w:tblPrEx>
        <w:trPr>
          <w:trHeight w:val="397" w:hRule="atLeast"/>
        </w:trPr>
        <w:tc>
          <w:tcPr>
            <w:tcW w:w="289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副高五级</w:t>
            </w:r>
          </w:p>
        </w:tc>
        <w:tc>
          <w:tcPr>
            <w:tcW w:w="179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49</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副高五级</w:t>
            </w:r>
          </w:p>
        </w:tc>
        <w:tc>
          <w:tcPr>
            <w:tcW w:w="215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48</w:t>
            </w:r>
          </w:p>
        </w:tc>
      </w:tr>
      <w:tr>
        <w:tblPrEx>
          <w:tblCellMar>
            <w:top w:w="0" w:type="dxa"/>
            <w:left w:w="108" w:type="dxa"/>
            <w:bottom w:w="0" w:type="dxa"/>
            <w:right w:w="108" w:type="dxa"/>
          </w:tblCellMar>
        </w:tblPrEx>
        <w:trPr>
          <w:trHeight w:val="397" w:hRule="atLeast"/>
        </w:trPr>
        <w:tc>
          <w:tcPr>
            <w:tcW w:w="289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副高六级</w:t>
            </w:r>
          </w:p>
        </w:tc>
        <w:tc>
          <w:tcPr>
            <w:tcW w:w="179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46</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副高六级</w:t>
            </w:r>
          </w:p>
        </w:tc>
        <w:tc>
          <w:tcPr>
            <w:tcW w:w="215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45</w:t>
            </w:r>
          </w:p>
        </w:tc>
      </w:tr>
      <w:tr>
        <w:tblPrEx>
          <w:tblCellMar>
            <w:top w:w="0" w:type="dxa"/>
            <w:left w:w="108" w:type="dxa"/>
            <w:bottom w:w="0" w:type="dxa"/>
            <w:right w:w="108" w:type="dxa"/>
          </w:tblCellMar>
        </w:tblPrEx>
        <w:trPr>
          <w:trHeight w:val="397" w:hRule="atLeast"/>
        </w:trPr>
        <w:tc>
          <w:tcPr>
            <w:tcW w:w="289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副高七级</w:t>
            </w:r>
          </w:p>
        </w:tc>
        <w:tc>
          <w:tcPr>
            <w:tcW w:w="179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42</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副高七级</w:t>
            </w:r>
          </w:p>
        </w:tc>
        <w:tc>
          <w:tcPr>
            <w:tcW w:w="215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41</w:t>
            </w:r>
          </w:p>
        </w:tc>
      </w:tr>
      <w:tr>
        <w:tblPrEx>
          <w:tblCellMar>
            <w:top w:w="0" w:type="dxa"/>
            <w:left w:w="108" w:type="dxa"/>
            <w:bottom w:w="0" w:type="dxa"/>
            <w:right w:w="108" w:type="dxa"/>
          </w:tblCellMar>
        </w:tblPrEx>
        <w:trPr>
          <w:trHeight w:val="397" w:hRule="atLeast"/>
        </w:trPr>
        <w:tc>
          <w:tcPr>
            <w:tcW w:w="289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中级八级</w:t>
            </w:r>
          </w:p>
        </w:tc>
        <w:tc>
          <w:tcPr>
            <w:tcW w:w="179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38</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中级八级</w:t>
            </w:r>
          </w:p>
        </w:tc>
        <w:tc>
          <w:tcPr>
            <w:tcW w:w="215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38</w:t>
            </w:r>
          </w:p>
        </w:tc>
      </w:tr>
      <w:tr>
        <w:tblPrEx>
          <w:tblCellMar>
            <w:top w:w="0" w:type="dxa"/>
            <w:left w:w="108" w:type="dxa"/>
            <w:bottom w:w="0" w:type="dxa"/>
            <w:right w:w="108" w:type="dxa"/>
          </w:tblCellMar>
        </w:tblPrEx>
        <w:trPr>
          <w:trHeight w:val="397" w:hRule="atLeast"/>
        </w:trPr>
        <w:tc>
          <w:tcPr>
            <w:tcW w:w="289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中级九级</w:t>
            </w:r>
          </w:p>
        </w:tc>
        <w:tc>
          <w:tcPr>
            <w:tcW w:w="179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36</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中级九级</w:t>
            </w:r>
          </w:p>
        </w:tc>
        <w:tc>
          <w:tcPr>
            <w:tcW w:w="215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36</w:t>
            </w:r>
          </w:p>
        </w:tc>
      </w:tr>
      <w:tr>
        <w:tblPrEx>
          <w:tblCellMar>
            <w:top w:w="0" w:type="dxa"/>
            <w:left w:w="108" w:type="dxa"/>
            <w:bottom w:w="0" w:type="dxa"/>
            <w:right w:w="108" w:type="dxa"/>
          </w:tblCellMar>
        </w:tblPrEx>
        <w:trPr>
          <w:trHeight w:val="397" w:hRule="atLeast"/>
        </w:trPr>
        <w:tc>
          <w:tcPr>
            <w:tcW w:w="2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中级十级</w:t>
            </w:r>
          </w:p>
        </w:tc>
        <w:tc>
          <w:tcPr>
            <w:tcW w:w="17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34</w:t>
            </w:r>
          </w:p>
        </w:tc>
        <w:tc>
          <w:tcPr>
            <w:tcW w:w="198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中级十级</w:t>
            </w:r>
          </w:p>
        </w:tc>
        <w:tc>
          <w:tcPr>
            <w:tcW w:w="21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34</w:t>
            </w:r>
          </w:p>
        </w:tc>
      </w:tr>
      <w:tr>
        <w:tblPrEx>
          <w:tblCellMar>
            <w:top w:w="0" w:type="dxa"/>
            <w:left w:w="108" w:type="dxa"/>
            <w:bottom w:w="0" w:type="dxa"/>
            <w:right w:w="108" w:type="dxa"/>
          </w:tblCellMar>
        </w:tblPrEx>
        <w:trPr>
          <w:trHeight w:val="397" w:hRule="atLeast"/>
        </w:trPr>
        <w:tc>
          <w:tcPr>
            <w:tcW w:w="2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初级十一级</w:t>
            </w:r>
          </w:p>
        </w:tc>
        <w:tc>
          <w:tcPr>
            <w:tcW w:w="17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31</w:t>
            </w:r>
          </w:p>
        </w:tc>
        <w:tc>
          <w:tcPr>
            <w:tcW w:w="198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初级十一级</w:t>
            </w:r>
          </w:p>
        </w:tc>
        <w:tc>
          <w:tcPr>
            <w:tcW w:w="21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31</w:t>
            </w:r>
          </w:p>
        </w:tc>
      </w:tr>
      <w:tr>
        <w:tblPrEx>
          <w:tblCellMar>
            <w:top w:w="0" w:type="dxa"/>
            <w:left w:w="108" w:type="dxa"/>
            <w:bottom w:w="0" w:type="dxa"/>
            <w:right w:w="108" w:type="dxa"/>
          </w:tblCellMar>
        </w:tblPrEx>
        <w:trPr>
          <w:trHeight w:val="397" w:hRule="atLeast"/>
        </w:trPr>
        <w:tc>
          <w:tcPr>
            <w:tcW w:w="2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初级十二级</w:t>
            </w:r>
          </w:p>
        </w:tc>
        <w:tc>
          <w:tcPr>
            <w:tcW w:w="17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29</w:t>
            </w:r>
          </w:p>
        </w:tc>
        <w:tc>
          <w:tcPr>
            <w:tcW w:w="198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初级十二级</w:t>
            </w:r>
          </w:p>
        </w:tc>
        <w:tc>
          <w:tcPr>
            <w:tcW w:w="21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29</w:t>
            </w:r>
          </w:p>
        </w:tc>
      </w:tr>
      <w:tr>
        <w:tblPrEx>
          <w:tblCellMar>
            <w:top w:w="0" w:type="dxa"/>
            <w:left w:w="108" w:type="dxa"/>
            <w:bottom w:w="0" w:type="dxa"/>
            <w:right w:w="108" w:type="dxa"/>
          </w:tblCellMar>
        </w:tblPrEx>
        <w:trPr>
          <w:trHeight w:val="397" w:hRule="atLeast"/>
        </w:trPr>
        <w:tc>
          <w:tcPr>
            <w:tcW w:w="2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员级十三级</w:t>
            </w:r>
          </w:p>
        </w:tc>
        <w:tc>
          <w:tcPr>
            <w:tcW w:w="17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26</w:t>
            </w:r>
          </w:p>
        </w:tc>
        <w:tc>
          <w:tcPr>
            <w:tcW w:w="198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员级十三级</w:t>
            </w:r>
          </w:p>
        </w:tc>
        <w:tc>
          <w:tcPr>
            <w:tcW w:w="21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26</w:t>
            </w:r>
          </w:p>
        </w:tc>
      </w:tr>
      <w:tr>
        <w:tblPrEx>
          <w:tblCellMar>
            <w:top w:w="0" w:type="dxa"/>
            <w:left w:w="108" w:type="dxa"/>
            <w:bottom w:w="0" w:type="dxa"/>
            <w:right w:w="108" w:type="dxa"/>
          </w:tblCellMar>
        </w:tblPrEx>
        <w:trPr>
          <w:trHeight w:val="397" w:hRule="atLeast"/>
        </w:trPr>
        <w:tc>
          <w:tcPr>
            <w:tcW w:w="2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博士初期</w:t>
            </w:r>
          </w:p>
        </w:tc>
        <w:tc>
          <w:tcPr>
            <w:tcW w:w="17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34</w:t>
            </w:r>
          </w:p>
        </w:tc>
        <w:tc>
          <w:tcPr>
            <w:tcW w:w="198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博士初期</w:t>
            </w:r>
          </w:p>
        </w:tc>
        <w:tc>
          <w:tcPr>
            <w:tcW w:w="21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34</w:t>
            </w:r>
          </w:p>
        </w:tc>
      </w:tr>
      <w:tr>
        <w:tblPrEx>
          <w:tblCellMar>
            <w:top w:w="0" w:type="dxa"/>
            <w:left w:w="108" w:type="dxa"/>
            <w:bottom w:w="0" w:type="dxa"/>
            <w:right w:w="108" w:type="dxa"/>
          </w:tblCellMar>
        </w:tblPrEx>
        <w:trPr>
          <w:trHeight w:val="397" w:hRule="atLeast"/>
        </w:trPr>
        <w:tc>
          <w:tcPr>
            <w:tcW w:w="2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硕士初期</w:t>
            </w:r>
          </w:p>
        </w:tc>
        <w:tc>
          <w:tcPr>
            <w:tcW w:w="17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27</w:t>
            </w:r>
          </w:p>
        </w:tc>
        <w:tc>
          <w:tcPr>
            <w:tcW w:w="198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硕士初期</w:t>
            </w:r>
          </w:p>
        </w:tc>
        <w:tc>
          <w:tcPr>
            <w:tcW w:w="21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27</w:t>
            </w:r>
          </w:p>
        </w:tc>
      </w:tr>
      <w:tr>
        <w:tblPrEx>
          <w:tblCellMar>
            <w:top w:w="0" w:type="dxa"/>
            <w:left w:w="108" w:type="dxa"/>
            <w:bottom w:w="0" w:type="dxa"/>
            <w:right w:w="108" w:type="dxa"/>
          </w:tblCellMar>
        </w:tblPrEx>
        <w:trPr>
          <w:trHeight w:val="397" w:hRule="atLeast"/>
        </w:trPr>
        <w:tc>
          <w:tcPr>
            <w:tcW w:w="2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见  习</w:t>
            </w:r>
          </w:p>
        </w:tc>
        <w:tc>
          <w:tcPr>
            <w:tcW w:w="17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24</w:t>
            </w:r>
          </w:p>
        </w:tc>
        <w:tc>
          <w:tcPr>
            <w:tcW w:w="198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见  习</w:t>
            </w:r>
          </w:p>
        </w:tc>
        <w:tc>
          <w:tcPr>
            <w:tcW w:w="21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24</w:t>
            </w:r>
          </w:p>
        </w:tc>
      </w:tr>
      <w:tr>
        <w:tblPrEx>
          <w:tblCellMar>
            <w:top w:w="0" w:type="dxa"/>
            <w:left w:w="108" w:type="dxa"/>
            <w:bottom w:w="0" w:type="dxa"/>
            <w:right w:w="108" w:type="dxa"/>
          </w:tblCellMar>
        </w:tblPrEx>
        <w:trPr>
          <w:trHeight w:val="397" w:hRule="atLeast"/>
        </w:trPr>
        <w:tc>
          <w:tcPr>
            <w:tcW w:w="469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管理岗位</w:t>
            </w:r>
          </w:p>
        </w:tc>
        <w:tc>
          <w:tcPr>
            <w:tcW w:w="4142"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工勤岗位</w:t>
            </w:r>
          </w:p>
        </w:tc>
      </w:tr>
      <w:tr>
        <w:tblPrEx>
          <w:tblCellMar>
            <w:top w:w="0" w:type="dxa"/>
            <w:left w:w="108" w:type="dxa"/>
            <w:bottom w:w="0" w:type="dxa"/>
            <w:right w:w="108" w:type="dxa"/>
          </w:tblCellMar>
        </w:tblPrEx>
        <w:trPr>
          <w:trHeight w:val="397" w:hRule="atLeast"/>
        </w:trPr>
        <w:tc>
          <w:tcPr>
            <w:tcW w:w="2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Cs w:val="21"/>
              </w:rPr>
            </w:pPr>
            <w:r>
              <w:rPr>
                <w:rFonts w:hint="eastAsia" w:ascii="宋体" w:hAnsi="宋体" w:cs="宋体"/>
                <w:kern w:val="0"/>
                <w:szCs w:val="21"/>
              </w:rPr>
              <w:t>职  级</w:t>
            </w:r>
          </w:p>
        </w:tc>
        <w:tc>
          <w:tcPr>
            <w:tcW w:w="178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Cs w:val="21"/>
              </w:rPr>
            </w:pPr>
            <w:r>
              <w:rPr>
                <w:rFonts w:hint="eastAsia" w:ascii="宋体" w:hAnsi="宋体" w:cs="宋体"/>
                <w:kern w:val="0"/>
                <w:szCs w:val="21"/>
              </w:rPr>
              <w:t>月计分标准</w:t>
            </w:r>
          </w:p>
        </w:tc>
        <w:tc>
          <w:tcPr>
            <w:tcW w:w="197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Cs w:val="21"/>
              </w:rPr>
            </w:pPr>
            <w:r>
              <w:rPr>
                <w:rFonts w:hint="eastAsia" w:ascii="宋体" w:hAnsi="宋体" w:cs="宋体"/>
                <w:kern w:val="0"/>
                <w:szCs w:val="21"/>
              </w:rPr>
              <w:t>技术等级</w:t>
            </w:r>
          </w:p>
        </w:tc>
        <w:tc>
          <w:tcPr>
            <w:tcW w:w="21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Cs w:val="21"/>
              </w:rPr>
            </w:pPr>
            <w:r>
              <w:rPr>
                <w:rFonts w:hint="eastAsia" w:ascii="宋体" w:hAnsi="宋体" w:cs="宋体"/>
                <w:kern w:val="0"/>
                <w:szCs w:val="21"/>
              </w:rPr>
              <w:t>月计分标准</w:t>
            </w:r>
          </w:p>
        </w:tc>
      </w:tr>
      <w:tr>
        <w:tblPrEx>
          <w:tblCellMar>
            <w:top w:w="0" w:type="dxa"/>
            <w:left w:w="108" w:type="dxa"/>
            <w:bottom w:w="0" w:type="dxa"/>
            <w:right w:w="108" w:type="dxa"/>
          </w:tblCellMar>
        </w:tblPrEx>
        <w:trPr>
          <w:trHeight w:val="397" w:hRule="atLeast"/>
        </w:trPr>
        <w:tc>
          <w:tcPr>
            <w:tcW w:w="291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三级职员（正厅级）</w:t>
            </w:r>
          </w:p>
        </w:tc>
        <w:tc>
          <w:tcPr>
            <w:tcW w:w="178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64</w:t>
            </w:r>
          </w:p>
        </w:tc>
        <w:tc>
          <w:tcPr>
            <w:tcW w:w="19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技师</w:t>
            </w:r>
          </w:p>
        </w:tc>
        <w:tc>
          <w:tcPr>
            <w:tcW w:w="2163"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34</w:t>
            </w:r>
          </w:p>
        </w:tc>
      </w:tr>
      <w:tr>
        <w:tblPrEx>
          <w:tblCellMar>
            <w:top w:w="0" w:type="dxa"/>
            <w:left w:w="108" w:type="dxa"/>
            <w:bottom w:w="0" w:type="dxa"/>
            <w:right w:w="108" w:type="dxa"/>
          </w:tblCellMar>
        </w:tblPrEx>
        <w:trPr>
          <w:trHeight w:val="397" w:hRule="atLeast"/>
        </w:trPr>
        <w:tc>
          <w:tcPr>
            <w:tcW w:w="2912"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四级职员（副厅级）</w:t>
            </w:r>
          </w:p>
        </w:tc>
        <w:tc>
          <w:tcPr>
            <w:tcW w:w="1781" w:type="dxa"/>
            <w:vMerge w:val="restart"/>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kern w:val="0"/>
                <w:szCs w:val="21"/>
              </w:rPr>
            </w:pPr>
            <w:r>
              <w:rPr>
                <w:rFonts w:hint="eastAsia" w:ascii="宋体" w:hAnsi="宋体" w:cs="宋体"/>
                <w:kern w:val="0"/>
                <w:szCs w:val="21"/>
              </w:rPr>
              <w:t>59</w:t>
            </w:r>
          </w:p>
        </w:tc>
        <w:tc>
          <w:tcPr>
            <w:tcW w:w="19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高级工</w:t>
            </w:r>
          </w:p>
        </w:tc>
        <w:tc>
          <w:tcPr>
            <w:tcW w:w="2163"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31</w:t>
            </w:r>
          </w:p>
        </w:tc>
      </w:tr>
      <w:tr>
        <w:tblPrEx>
          <w:tblCellMar>
            <w:top w:w="0" w:type="dxa"/>
            <w:left w:w="108" w:type="dxa"/>
            <w:bottom w:w="0" w:type="dxa"/>
            <w:right w:w="108" w:type="dxa"/>
          </w:tblCellMar>
        </w:tblPrEx>
        <w:trPr>
          <w:trHeight w:val="397" w:hRule="atLeast"/>
        </w:trPr>
        <w:tc>
          <w:tcPr>
            <w:tcW w:w="2912"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1781"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19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中级工</w:t>
            </w:r>
          </w:p>
        </w:tc>
        <w:tc>
          <w:tcPr>
            <w:tcW w:w="2163"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28</w:t>
            </w:r>
          </w:p>
        </w:tc>
      </w:tr>
      <w:tr>
        <w:tblPrEx>
          <w:tblCellMar>
            <w:top w:w="0" w:type="dxa"/>
            <w:left w:w="108" w:type="dxa"/>
            <w:bottom w:w="0" w:type="dxa"/>
            <w:right w:w="108" w:type="dxa"/>
          </w:tblCellMar>
        </w:tblPrEx>
        <w:trPr>
          <w:trHeight w:val="397" w:hRule="atLeast"/>
        </w:trPr>
        <w:tc>
          <w:tcPr>
            <w:tcW w:w="291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五级职员（正处级/调研员）</w:t>
            </w:r>
          </w:p>
        </w:tc>
        <w:tc>
          <w:tcPr>
            <w:tcW w:w="178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51</w:t>
            </w:r>
          </w:p>
        </w:tc>
        <w:tc>
          <w:tcPr>
            <w:tcW w:w="19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初级工</w:t>
            </w:r>
          </w:p>
        </w:tc>
        <w:tc>
          <w:tcPr>
            <w:tcW w:w="2163"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25</w:t>
            </w:r>
          </w:p>
        </w:tc>
      </w:tr>
      <w:tr>
        <w:tblPrEx>
          <w:tblCellMar>
            <w:top w:w="0" w:type="dxa"/>
            <w:left w:w="108" w:type="dxa"/>
            <w:bottom w:w="0" w:type="dxa"/>
            <w:right w:w="108" w:type="dxa"/>
          </w:tblCellMar>
        </w:tblPrEx>
        <w:trPr>
          <w:trHeight w:val="397" w:hRule="atLeast"/>
        </w:trPr>
        <w:tc>
          <w:tcPr>
            <w:tcW w:w="291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六级职员（副处级/副调研员）</w:t>
            </w:r>
          </w:p>
        </w:tc>
        <w:tc>
          <w:tcPr>
            <w:tcW w:w="178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Cs w:val="21"/>
              </w:rPr>
            </w:pPr>
            <w:r>
              <w:rPr>
                <w:rFonts w:hint="eastAsia" w:ascii="宋体" w:hAnsi="宋体" w:cs="宋体"/>
                <w:kern w:val="0"/>
                <w:szCs w:val="21"/>
              </w:rPr>
              <w:t>44</w:t>
            </w:r>
          </w:p>
        </w:tc>
        <w:tc>
          <w:tcPr>
            <w:tcW w:w="19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普工</w:t>
            </w:r>
          </w:p>
        </w:tc>
        <w:tc>
          <w:tcPr>
            <w:tcW w:w="2163"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25</w:t>
            </w:r>
          </w:p>
        </w:tc>
      </w:tr>
      <w:tr>
        <w:tblPrEx>
          <w:tblCellMar>
            <w:top w:w="0" w:type="dxa"/>
            <w:left w:w="108" w:type="dxa"/>
            <w:bottom w:w="0" w:type="dxa"/>
            <w:right w:w="108" w:type="dxa"/>
          </w:tblCellMar>
        </w:tblPrEx>
        <w:trPr>
          <w:trHeight w:val="397" w:hRule="atLeast"/>
        </w:trPr>
        <w:tc>
          <w:tcPr>
            <w:tcW w:w="291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七级职员（正科级）</w:t>
            </w:r>
          </w:p>
        </w:tc>
        <w:tc>
          <w:tcPr>
            <w:tcW w:w="178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36</w:t>
            </w:r>
          </w:p>
        </w:tc>
        <w:tc>
          <w:tcPr>
            <w:tcW w:w="19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学徒期、熟练期</w:t>
            </w:r>
          </w:p>
        </w:tc>
        <w:tc>
          <w:tcPr>
            <w:tcW w:w="2163"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24</w:t>
            </w:r>
          </w:p>
        </w:tc>
      </w:tr>
      <w:tr>
        <w:tblPrEx>
          <w:tblCellMar>
            <w:top w:w="0" w:type="dxa"/>
            <w:left w:w="108" w:type="dxa"/>
            <w:bottom w:w="0" w:type="dxa"/>
            <w:right w:w="108" w:type="dxa"/>
          </w:tblCellMar>
        </w:tblPrEx>
        <w:trPr>
          <w:gridAfter w:val="3"/>
          <w:wAfter w:w="4142" w:type="dxa"/>
          <w:trHeight w:val="397" w:hRule="atLeast"/>
        </w:trPr>
        <w:tc>
          <w:tcPr>
            <w:tcW w:w="2912"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八级职员（副科级）</w:t>
            </w:r>
          </w:p>
        </w:tc>
        <w:tc>
          <w:tcPr>
            <w:tcW w:w="1781"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31</w:t>
            </w:r>
          </w:p>
        </w:tc>
      </w:tr>
      <w:tr>
        <w:tblPrEx>
          <w:tblCellMar>
            <w:top w:w="0" w:type="dxa"/>
            <w:left w:w="108" w:type="dxa"/>
            <w:bottom w:w="0" w:type="dxa"/>
            <w:right w:w="108" w:type="dxa"/>
          </w:tblCellMar>
        </w:tblPrEx>
        <w:trPr>
          <w:gridAfter w:val="3"/>
          <w:wAfter w:w="4142" w:type="dxa"/>
          <w:trHeight w:val="397" w:hRule="atLeast"/>
        </w:trPr>
        <w:tc>
          <w:tcPr>
            <w:tcW w:w="2912"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九级职员（科员）</w:t>
            </w:r>
          </w:p>
        </w:tc>
        <w:tc>
          <w:tcPr>
            <w:tcW w:w="1781"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29</w:t>
            </w:r>
          </w:p>
        </w:tc>
      </w:tr>
      <w:tr>
        <w:tblPrEx>
          <w:tblCellMar>
            <w:top w:w="0" w:type="dxa"/>
            <w:left w:w="108" w:type="dxa"/>
            <w:bottom w:w="0" w:type="dxa"/>
            <w:right w:w="108" w:type="dxa"/>
          </w:tblCellMar>
        </w:tblPrEx>
        <w:trPr>
          <w:gridAfter w:val="3"/>
          <w:wAfter w:w="4142" w:type="dxa"/>
          <w:trHeight w:val="397" w:hRule="atLeast"/>
        </w:trPr>
        <w:tc>
          <w:tcPr>
            <w:tcW w:w="291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十级职员（办事员）</w:t>
            </w:r>
          </w:p>
        </w:tc>
        <w:tc>
          <w:tcPr>
            <w:tcW w:w="178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26</w:t>
            </w:r>
          </w:p>
        </w:tc>
      </w:tr>
      <w:tr>
        <w:tblPrEx>
          <w:tblCellMar>
            <w:top w:w="0" w:type="dxa"/>
            <w:left w:w="108" w:type="dxa"/>
            <w:bottom w:w="0" w:type="dxa"/>
            <w:right w:w="108" w:type="dxa"/>
          </w:tblCellMar>
        </w:tblPrEx>
        <w:trPr>
          <w:gridAfter w:val="3"/>
          <w:wAfter w:w="4142" w:type="dxa"/>
          <w:trHeight w:val="397" w:hRule="atLeast"/>
        </w:trPr>
        <w:tc>
          <w:tcPr>
            <w:tcW w:w="291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硕士初期</w:t>
            </w:r>
          </w:p>
        </w:tc>
        <w:tc>
          <w:tcPr>
            <w:tcW w:w="178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27</w:t>
            </w:r>
          </w:p>
        </w:tc>
      </w:tr>
      <w:tr>
        <w:tblPrEx>
          <w:tblCellMar>
            <w:top w:w="0" w:type="dxa"/>
            <w:left w:w="108" w:type="dxa"/>
            <w:bottom w:w="0" w:type="dxa"/>
            <w:right w:w="108" w:type="dxa"/>
          </w:tblCellMar>
        </w:tblPrEx>
        <w:trPr>
          <w:gridAfter w:val="3"/>
          <w:wAfter w:w="4142" w:type="dxa"/>
          <w:trHeight w:val="397" w:hRule="atLeast"/>
        </w:trPr>
        <w:tc>
          <w:tcPr>
            <w:tcW w:w="291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见  习</w:t>
            </w:r>
          </w:p>
        </w:tc>
        <w:tc>
          <w:tcPr>
            <w:tcW w:w="178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kern w:val="0"/>
                <w:szCs w:val="21"/>
              </w:rPr>
            </w:pPr>
            <w:r>
              <w:rPr>
                <w:rFonts w:hint="eastAsia" w:ascii="宋体" w:hAnsi="宋体" w:cs="宋体"/>
                <w:kern w:val="0"/>
                <w:szCs w:val="21"/>
              </w:rPr>
              <w:t>24</w:t>
            </w:r>
          </w:p>
        </w:tc>
      </w:tr>
    </w:tbl>
    <w:p>
      <w:pPr>
        <w:spacing w:line="600" w:lineRule="exact"/>
        <w:ind w:firstLine="640" w:firstLineChars="200"/>
        <w:rPr>
          <w:rFonts w:ascii="仿宋_GB2312" w:eastAsia="仿宋_GB2312"/>
          <w:sz w:val="32"/>
          <w:szCs w:val="32"/>
        </w:rPr>
      </w:pPr>
      <w:r>
        <w:rPr>
          <w:rFonts w:hint="eastAsia" w:ascii="仿宋_GB2312" w:eastAsia="仿宋_GB2312"/>
          <w:sz w:val="32"/>
          <w:szCs w:val="32"/>
        </w:rPr>
        <w:t>基础性绩效工资按计分标准进行核算，每标准计分分值根据核定的绩效工资总量进行测算。</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（二）发放办法</w:t>
      </w:r>
    </w:p>
    <w:tbl>
      <w:tblPr>
        <w:tblStyle w:val="8"/>
        <w:tblW w:w="49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2"/>
        <w:gridCol w:w="2445"/>
        <w:gridCol w:w="4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岗位</w:t>
            </w:r>
          </w:p>
        </w:tc>
        <w:tc>
          <w:tcPr>
            <w:tcW w:w="1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类型</w:t>
            </w:r>
          </w:p>
        </w:tc>
        <w:tc>
          <w:tcPr>
            <w:tcW w:w="28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实发数（每月）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ind w:firstLine="44" w:firstLineChars="21"/>
              <w:jc w:val="center"/>
              <w:rPr>
                <w:rFonts w:cs="宋体" w:asciiTheme="minorEastAsia" w:hAnsiTheme="minorEastAsia" w:eastAsiaTheme="minorEastAsia"/>
                <w:sz w:val="24"/>
              </w:rPr>
            </w:pPr>
            <w:r>
              <w:rPr>
                <w:rFonts w:hint="eastAsia" w:asciiTheme="minorEastAsia" w:hAnsiTheme="minorEastAsia" w:eastAsiaTheme="minorEastAsia"/>
              </w:rPr>
              <w:t>A岗</w:t>
            </w:r>
          </w:p>
        </w:tc>
        <w:tc>
          <w:tcPr>
            <w:tcW w:w="1408"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eastAsiaTheme="minorEastAsia"/>
                <w:sz w:val="24"/>
              </w:rPr>
            </w:pPr>
            <w:r>
              <w:rPr>
                <w:rFonts w:hint="eastAsia" w:asciiTheme="minorEastAsia" w:hAnsiTheme="minorEastAsia" w:eastAsiaTheme="minorEastAsia"/>
              </w:rPr>
              <w:t>不满额定教学工作量</w:t>
            </w:r>
          </w:p>
        </w:tc>
        <w:tc>
          <w:tcPr>
            <w:tcW w:w="2871"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eastAsiaTheme="minorEastAsia"/>
                <w:sz w:val="24"/>
              </w:rPr>
            </w:pPr>
            <w:r>
              <w:rPr>
                <w:rFonts w:hint="eastAsia" w:asciiTheme="minorEastAsia" w:hAnsiTheme="minorEastAsia" w:eastAsiaTheme="minorEastAsia"/>
              </w:rPr>
              <w:t>应发基础绩效工资数总额*完成教学工作量比例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1" w:type="pct"/>
            <w:vMerge w:val="continue"/>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24"/>
              </w:rPr>
            </w:pPr>
          </w:p>
        </w:tc>
        <w:tc>
          <w:tcPr>
            <w:tcW w:w="1408"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eastAsiaTheme="minorEastAsia"/>
                <w:sz w:val="24"/>
              </w:rPr>
            </w:pPr>
            <w:r>
              <w:rPr>
                <w:rFonts w:hint="eastAsia" w:asciiTheme="minorEastAsia" w:hAnsiTheme="minorEastAsia" w:eastAsiaTheme="minorEastAsia"/>
              </w:rPr>
              <w:t>不满额定科研工作量</w:t>
            </w:r>
          </w:p>
        </w:tc>
        <w:tc>
          <w:tcPr>
            <w:tcW w:w="2871"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eastAsiaTheme="minorEastAsia"/>
                <w:sz w:val="24"/>
              </w:rPr>
            </w:pPr>
            <w:r>
              <w:rPr>
                <w:rFonts w:hint="eastAsia" w:asciiTheme="minorEastAsia" w:hAnsiTheme="minorEastAsia" w:eastAsiaTheme="minorEastAsia"/>
              </w:rPr>
              <w:t>按学校和学院规定执行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1" w:type="pct"/>
            <w:tcBorders>
              <w:top w:val="single" w:color="auto" w:sz="4" w:space="0"/>
              <w:left w:val="single" w:color="auto" w:sz="4" w:space="0"/>
              <w:bottom w:val="single" w:color="auto" w:sz="4" w:space="0"/>
              <w:right w:val="single" w:color="auto" w:sz="4" w:space="0"/>
            </w:tcBorders>
            <w:shd w:val="clear" w:color="auto" w:fill="auto"/>
            <w:vAlign w:val="center"/>
          </w:tcPr>
          <w:p>
            <w:pPr>
              <w:ind w:firstLine="44" w:firstLineChars="21"/>
              <w:jc w:val="center"/>
              <w:rPr>
                <w:rFonts w:cs="宋体" w:asciiTheme="minorEastAsia" w:hAnsiTheme="minorEastAsia" w:eastAsiaTheme="minorEastAsia"/>
                <w:sz w:val="24"/>
              </w:rPr>
            </w:pPr>
            <w:r>
              <w:rPr>
                <w:rFonts w:hint="eastAsia" w:asciiTheme="minorEastAsia" w:hAnsiTheme="minorEastAsia" w:eastAsiaTheme="minorEastAsia"/>
              </w:rPr>
              <w:t>其他岗位</w:t>
            </w:r>
          </w:p>
        </w:tc>
        <w:tc>
          <w:tcPr>
            <w:tcW w:w="1408"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eastAsiaTheme="minorEastAsia"/>
                <w:sz w:val="24"/>
              </w:rPr>
            </w:pPr>
            <w:r>
              <w:rPr>
                <w:rFonts w:hint="eastAsia" w:asciiTheme="minorEastAsia" w:hAnsiTheme="minorEastAsia" w:eastAsiaTheme="minorEastAsia"/>
              </w:rPr>
              <w:t>未完成基本工作</w:t>
            </w:r>
          </w:p>
        </w:tc>
        <w:tc>
          <w:tcPr>
            <w:tcW w:w="2871"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eastAsiaTheme="minorEastAsia"/>
                <w:sz w:val="24"/>
              </w:rPr>
            </w:pPr>
            <w:r>
              <w:rPr>
                <w:rFonts w:hint="eastAsia" w:asciiTheme="minorEastAsia" w:hAnsiTheme="minorEastAsia" w:eastAsiaTheme="minorEastAsia"/>
              </w:rPr>
              <w:t>按学校和学院规定执行</w:t>
            </w:r>
          </w:p>
        </w:tc>
      </w:tr>
    </w:tbl>
    <w:p>
      <w:pPr>
        <w:spacing w:line="520" w:lineRule="exact"/>
        <w:ind w:firstLine="640" w:firstLineChars="200"/>
        <w:rPr>
          <w:rFonts w:ascii="仿宋_GB2312" w:eastAsia="仿宋_GB2312"/>
          <w:sz w:val="32"/>
          <w:szCs w:val="32"/>
        </w:rPr>
      </w:pPr>
      <w:r>
        <w:rPr>
          <w:rFonts w:hint="eastAsia" w:ascii="仿宋_GB2312" w:eastAsia="仿宋_GB2312"/>
          <w:sz w:val="32"/>
          <w:szCs w:val="32"/>
        </w:rPr>
        <w:t>1．在岗教职工的基础津贴标准根据本人所聘任的岗位，按照聘期绩效考核所确定的岗位级别执行。</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 经学校批准受聘到两类岗位、内聘管理岗位和专业技术岗位的人员，基础性绩效工资可按现聘任的岗位由本人选择执行。</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3</w:t>
      </w:r>
      <w:r>
        <w:rPr>
          <w:rFonts w:hint="eastAsia" w:ascii="仿宋_GB2312" w:eastAsia="仿宋_GB2312"/>
          <w:spacing w:val="-4"/>
          <w:sz w:val="32"/>
          <w:szCs w:val="32"/>
        </w:rPr>
        <w:t>．基础津贴结合考勤考核情况，由学校随工资按月发放。根据年度</w:t>
      </w:r>
      <w:r>
        <w:rPr>
          <w:rFonts w:hint="eastAsia" w:ascii="仿宋_GB2312" w:eastAsia="仿宋_GB2312"/>
          <w:spacing w:val="-4"/>
          <w:sz w:val="32"/>
          <w:szCs w:val="32"/>
          <w:u w:val="none"/>
        </w:rPr>
        <w:t>绩效</w:t>
      </w:r>
      <w:r>
        <w:rPr>
          <w:rFonts w:hint="eastAsia" w:ascii="仿宋_GB2312" w:eastAsia="仿宋_GB2312"/>
          <w:spacing w:val="-4"/>
          <w:sz w:val="32"/>
          <w:szCs w:val="32"/>
        </w:rPr>
        <w:t>考核结果，未完成基本工作量者，从下一年度执行的基础性绩效工资中进行相应扣减，经学院报批，扣除部分返还学院。因离岗、退休等原因不能完全扣减的，从其他工资或收入中扣减，或者补缴。</w:t>
      </w:r>
    </w:p>
    <w:p>
      <w:pPr>
        <w:spacing w:line="500" w:lineRule="exact"/>
        <w:ind w:firstLine="640" w:firstLineChars="200"/>
        <w:rPr>
          <w:rFonts w:ascii="仿宋_GB2312" w:eastAsia="仿宋_GB2312"/>
          <w:spacing w:val="-4"/>
          <w:sz w:val="32"/>
          <w:szCs w:val="32"/>
        </w:rPr>
      </w:pPr>
      <w:r>
        <w:rPr>
          <w:rFonts w:hint="eastAsia" w:ascii="仿宋_GB2312" w:eastAsia="仿宋_GB2312"/>
          <w:sz w:val="32"/>
          <w:szCs w:val="32"/>
        </w:rPr>
        <w:t>年度绩效考核合格及以上人员，基础津贴全额发放；年度绩效考核基本合格按80%发放；</w:t>
      </w:r>
      <w:r>
        <w:rPr>
          <w:rFonts w:hint="eastAsia" w:ascii="仿宋_GB2312" w:eastAsia="仿宋_GB2312"/>
          <w:spacing w:val="-4"/>
          <w:sz w:val="32"/>
          <w:szCs w:val="32"/>
        </w:rPr>
        <w:t>年度绩效考核不合格的，下一年度的基础津贴按50%发放。</w:t>
      </w:r>
    </w:p>
    <w:p>
      <w:pPr>
        <w:spacing w:line="500" w:lineRule="exact"/>
        <w:ind w:firstLine="640" w:firstLineChars="200"/>
        <w:rPr>
          <w:rFonts w:ascii="仿宋_GB2312" w:eastAsia="仿宋_GB2312"/>
          <w:spacing w:val="-4"/>
          <w:sz w:val="32"/>
          <w:szCs w:val="32"/>
        </w:rPr>
      </w:pPr>
      <w:r>
        <w:rPr>
          <w:rFonts w:hint="eastAsia" w:ascii="仿宋_GB2312" w:eastAsia="仿宋_GB2312"/>
          <w:sz w:val="32"/>
          <w:szCs w:val="32"/>
        </w:rPr>
        <w:t>4．经批准脱产学习人员的基础津贴，在规定学制期间或批准延期内发放，未经批准外出学习或逾期不归的停发基础津贴。</w:t>
      </w:r>
      <w:r>
        <w:rPr>
          <w:rFonts w:hint="eastAsia" w:ascii="仿宋_GB2312" w:eastAsia="仿宋_GB2312"/>
          <w:spacing w:val="-4"/>
          <w:sz w:val="32"/>
          <w:szCs w:val="32"/>
        </w:rPr>
        <w:t>调档脱产学习的，学校停发所有工资待遇。</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5．新进人员当月在15日之前报到的，计发全月基础津贴；在15日之后报到的，计发半个月基础津贴。已明确岗位职级的，按所聘岗位职级执行相应的基础津贴；未明确岗位职级的，执行相应的初期（见习期）基础津贴。</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6．在国家及省规定的婚、丧、产等假期内并按规定履行了请假手续的教职工，发放基础津贴；超过规定假期，按旷工核发基础津贴。</w:t>
      </w:r>
    </w:p>
    <w:p>
      <w:pPr>
        <w:spacing w:line="500" w:lineRule="exact"/>
        <w:ind w:firstLine="640" w:firstLineChars="200"/>
        <w:rPr>
          <w:rFonts w:ascii="仿宋_GB2312" w:eastAsia="仿宋_GB2312"/>
          <w:b/>
          <w:sz w:val="32"/>
          <w:szCs w:val="32"/>
          <w:u w:val="single"/>
        </w:rPr>
      </w:pPr>
      <w:r>
        <w:rPr>
          <w:rFonts w:hint="eastAsia" w:ascii="仿宋_GB2312" w:eastAsia="仿宋_GB2312"/>
          <w:sz w:val="32"/>
          <w:szCs w:val="32"/>
        </w:rPr>
        <w:t>7.有下列情况者，停发或扣发基础津贴。</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（1）待聘、缓聘、解聘、拒聘人员，从待聘、缓聘、解聘、拒聘的次月停发基础津贴。</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（2）申请调出、辞职人员从学校批准次月停发基础津贴。本人申请学校同意缓办调动手续又安排教学、管理等工作的人员，工作期间发放基础津贴。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（3）出现三级教学事故者扣发半个月的基础津贴，出现二级以上教学事故者扣发2个月的基础津贴。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（4）受</w:t>
      </w:r>
      <w:r>
        <w:rPr>
          <w:rFonts w:hint="eastAsia" w:ascii="仿宋_GB2312" w:eastAsia="仿宋_GB2312"/>
          <w:spacing w:val="-4"/>
          <w:sz w:val="32"/>
          <w:szCs w:val="32"/>
        </w:rPr>
        <w:t>党内警告（行政警告）、</w:t>
      </w:r>
      <w:r>
        <w:rPr>
          <w:rFonts w:hint="eastAsia" w:ascii="仿宋_GB2312" w:eastAsia="仿宋_GB2312"/>
          <w:sz w:val="32"/>
          <w:szCs w:val="32"/>
        </w:rPr>
        <w:t>记过、降低岗位等级或者撤职等处分者，处分期内分别扣发3个月、6个月和12个月的基础津贴。</w:t>
      </w:r>
    </w:p>
    <w:p>
      <w:pPr>
        <w:spacing w:line="51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．教职工被采取强制措施和受行政刑事处罚，工资待遇按皖人社发〔2012〕63号文件执行。</w:t>
      </w:r>
    </w:p>
    <w:p>
      <w:pPr>
        <w:spacing w:line="510" w:lineRule="exact"/>
        <w:ind w:firstLine="640" w:firstLineChars="200"/>
        <w:rPr>
          <w:rFonts w:ascii="黑体" w:eastAsia="黑体"/>
          <w:sz w:val="32"/>
          <w:szCs w:val="32"/>
        </w:rPr>
      </w:pPr>
      <w:r>
        <w:rPr>
          <w:rFonts w:hint="eastAsia" w:ascii="黑体" w:eastAsia="黑体"/>
          <w:sz w:val="32"/>
          <w:szCs w:val="32"/>
        </w:rPr>
        <w:t>八、奖励性绩效工资分配办法</w:t>
      </w:r>
    </w:p>
    <w:p>
      <w:pPr>
        <w:spacing w:before="156" w:beforeLines="50" w:line="510" w:lineRule="exact"/>
        <w:ind w:firstLine="640" w:firstLineChars="200"/>
        <w:rPr>
          <w:rFonts w:ascii="仿宋_GB2312" w:eastAsia="仿宋_GB2312"/>
          <w:sz w:val="32"/>
          <w:szCs w:val="32"/>
        </w:rPr>
      </w:pPr>
      <w:r>
        <w:rPr>
          <w:rFonts w:hint="eastAsia" w:ascii="仿宋_GB2312" w:eastAsia="仿宋_GB2312"/>
          <w:sz w:val="32"/>
          <w:szCs w:val="32"/>
        </w:rPr>
        <w:t>（一）奖励性绩效工资发放办法</w:t>
      </w:r>
    </w:p>
    <w:p>
      <w:pPr>
        <w:spacing w:before="156" w:beforeLines="50" w:line="510" w:lineRule="exact"/>
        <w:ind w:firstLine="640" w:firstLineChars="200"/>
        <w:rPr>
          <w:rFonts w:ascii="仿宋_GB2312" w:eastAsia="仿宋_GB2312"/>
          <w:sz w:val="32"/>
          <w:szCs w:val="32"/>
        </w:rPr>
      </w:pPr>
      <w:r>
        <w:rPr>
          <w:rFonts w:hint="eastAsia" w:ascii="仿宋_GB2312" w:eastAsia="仿宋_GB2312"/>
          <w:sz w:val="32"/>
          <w:szCs w:val="32"/>
        </w:rPr>
        <w:t>1.学校切块到</w:t>
      </w:r>
      <w:r>
        <w:rPr>
          <w:rFonts w:hint="eastAsia" w:ascii="仿宋_GB2312" w:eastAsia="仿宋_GB2312"/>
          <w:spacing w:val="-4"/>
          <w:sz w:val="32"/>
          <w:szCs w:val="32"/>
        </w:rPr>
        <w:t>各单位</w:t>
      </w:r>
      <w:r>
        <w:rPr>
          <w:rFonts w:hint="eastAsia" w:ascii="仿宋_GB2312" w:eastAsia="仿宋_GB2312"/>
          <w:sz w:val="32"/>
          <w:szCs w:val="32"/>
        </w:rPr>
        <w:t>用作二次分配的奖励性绩效工资，是指教师在满足领取基础性绩效工资的条件下所拨付的奖励性绩效工资，包括除责任津贴之外的业绩津贴、超工作量津贴、超课时津贴和校内公共服务津贴等。</w:t>
      </w:r>
    </w:p>
    <w:p>
      <w:pPr>
        <w:spacing w:before="156" w:beforeLines="50" w:line="510" w:lineRule="exact"/>
        <w:ind w:firstLine="624" w:firstLineChars="200"/>
        <w:rPr>
          <w:rFonts w:ascii="仿宋_GB2312" w:eastAsia="仿宋_GB2312"/>
          <w:spacing w:val="-4"/>
          <w:sz w:val="32"/>
          <w:szCs w:val="32"/>
        </w:rPr>
      </w:pPr>
      <w:r>
        <w:rPr>
          <w:rFonts w:hint="eastAsia" w:ascii="仿宋_GB2312" w:eastAsia="仿宋_GB2312"/>
          <w:spacing w:val="-4"/>
          <w:sz w:val="32"/>
          <w:szCs w:val="32"/>
        </w:rPr>
        <w:t>各单位应明确职责分工，合理安排人力资源，保障教职工的合法权益和身心健康。</w:t>
      </w:r>
    </w:p>
    <w:p>
      <w:pPr>
        <w:spacing w:before="156" w:beforeLines="50" w:line="510" w:lineRule="exact"/>
        <w:ind w:firstLine="624" w:firstLineChars="200"/>
        <w:rPr>
          <w:rFonts w:ascii="仿宋_GB2312" w:eastAsia="仿宋_GB2312"/>
          <w:sz w:val="32"/>
          <w:szCs w:val="32"/>
        </w:rPr>
      </w:pPr>
      <w:r>
        <w:rPr>
          <w:rFonts w:hint="eastAsia" w:ascii="仿宋_GB2312" w:eastAsia="仿宋_GB2312"/>
          <w:spacing w:val="-4"/>
          <w:sz w:val="32"/>
          <w:szCs w:val="32"/>
        </w:rPr>
        <w:t>2.各单位二次分配</w:t>
      </w:r>
      <w:r>
        <w:rPr>
          <w:rFonts w:hint="eastAsia" w:ascii="仿宋_GB2312" w:eastAsia="仿宋_GB2312"/>
          <w:sz w:val="32"/>
          <w:szCs w:val="32"/>
        </w:rPr>
        <w:t>方案要与学校整体方案相适应，要体现学校的分配原则。学院绩效工资分配方案（含学院工作量计算办法），须经学院二级教代会通过，由学院党政联席会议研究确定，方案报校绩效工资工作领导小组备案。</w:t>
      </w:r>
    </w:p>
    <w:p>
      <w:pPr>
        <w:spacing w:before="156" w:beforeLines="50" w:line="510" w:lineRule="exact"/>
        <w:ind w:firstLine="640" w:firstLineChars="200"/>
        <w:rPr>
          <w:rFonts w:ascii="仿宋_GB2312" w:eastAsia="仿宋_GB2312"/>
          <w:sz w:val="32"/>
          <w:szCs w:val="32"/>
        </w:rPr>
      </w:pPr>
      <w:r>
        <w:rPr>
          <w:rFonts w:hint="eastAsia" w:ascii="仿宋_GB2312" w:eastAsia="仿宋_GB2312"/>
          <w:sz w:val="32"/>
          <w:szCs w:val="32"/>
        </w:rPr>
        <w:t>3.学院二次分配应统筹考虑全院工作，发挥导向作用，合理调节各项工作间的平衡关系。明确、细化参与分配的要素，教师以工作量分配为主，兼顾职称、责任心和工作效果等因素，辅以通过设置奖励等分配方式，力戒“平均主义”和“大锅饭”。</w:t>
      </w:r>
    </w:p>
    <w:p>
      <w:pPr>
        <w:spacing w:before="156" w:beforeLines="50" w:line="510" w:lineRule="exact"/>
        <w:ind w:firstLine="624" w:firstLineChars="200"/>
        <w:rPr>
          <w:rFonts w:ascii="仿宋_GB2312" w:eastAsia="仿宋_GB2312"/>
          <w:spacing w:val="-4"/>
          <w:sz w:val="32"/>
          <w:szCs w:val="32"/>
        </w:rPr>
      </w:pPr>
      <w:r>
        <w:rPr>
          <w:rFonts w:hint="eastAsia" w:ascii="仿宋_GB2312" w:eastAsia="仿宋_GB2312"/>
          <w:spacing w:val="-4"/>
          <w:sz w:val="32"/>
          <w:szCs w:val="32"/>
        </w:rPr>
        <w:t>4.绩效工资分配对象，原则上在岗在职的编内、编外等人员都可参与津贴分配。外聘、返聘需</w:t>
      </w:r>
      <w:r>
        <w:rPr>
          <w:rFonts w:ascii="仿宋_GB2312" w:eastAsia="仿宋_GB2312"/>
          <w:spacing w:val="-4"/>
          <w:sz w:val="32"/>
          <w:szCs w:val="32"/>
        </w:rPr>
        <w:t>经</w:t>
      </w:r>
      <w:r>
        <w:rPr>
          <w:rFonts w:hint="eastAsia" w:ascii="仿宋_GB2312" w:eastAsia="仿宋_GB2312"/>
          <w:spacing w:val="-4"/>
          <w:sz w:val="32"/>
          <w:szCs w:val="32"/>
        </w:rPr>
        <w:t>人事处</w:t>
      </w:r>
      <w:r>
        <w:rPr>
          <w:rFonts w:ascii="仿宋_GB2312" w:eastAsia="仿宋_GB2312"/>
          <w:spacing w:val="-4"/>
          <w:sz w:val="32"/>
          <w:szCs w:val="32"/>
        </w:rPr>
        <w:t>审</w:t>
      </w:r>
      <w:r>
        <w:rPr>
          <w:rFonts w:hint="eastAsia" w:ascii="仿宋_GB2312" w:eastAsia="仿宋_GB2312"/>
          <w:spacing w:val="-4"/>
          <w:sz w:val="32"/>
          <w:szCs w:val="32"/>
        </w:rPr>
        <w:t>核</w:t>
      </w:r>
      <w:r>
        <w:rPr>
          <w:rFonts w:ascii="仿宋_GB2312" w:eastAsia="仿宋_GB2312"/>
          <w:spacing w:val="-4"/>
          <w:sz w:val="32"/>
          <w:szCs w:val="32"/>
        </w:rPr>
        <w:t>，报学校批准</w:t>
      </w:r>
      <w:r>
        <w:rPr>
          <w:rFonts w:hint="eastAsia" w:ascii="仿宋_GB2312" w:eastAsia="仿宋_GB2312"/>
          <w:spacing w:val="-4"/>
          <w:sz w:val="32"/>
          <w:szCs w:val="32"/>
        </w:rPr>
        <w:t>。</w:t>
      </w:r>
    </w:p>
    <w:p>
      <w:pPr>
        <w:spacing w:before="156" w:beforeLines="50" w:line="510" w:lineRule="exact"/>
        <w:ind w:firstLine="640" w:firstLineChars="200"/>
        <w:rPr>
          <w:rFonts w:ascii="仿宋_GB2312" w:eastAsia="仿宋_GB2312"/>
          <w:sz w:val="32"/>
          <w:szCs w:val="32"/>
        </w:rPr>
      </w:pPr>
      <w:r>
        <w:rPr>
          <w:rFonts w:hint="eastAsia" w:ascii="仿宋_GB2312" w:eastAsia="仿宋_GB2312"/>
          <w:sz w:val="32"/>
          <w:szCs w:val="32"/>
        </w:rPr>
        <w:t>5.对于外单位教师为本单位完成的教学工作量，须按照不低于本单位同职称教职工完成同类教学工作量的标准统一、及时切分到外单位。</w:t>
      </w:r>
    </w:p>
    <w:p>
      <w:pPr>
        <w:spacing w:before="156" w:beforeLines="50" w:line="510" w:lineRule="exact"/>
        <w:ind w:firstLine="640" w:firstLineChars="200"/>
        <w:rPr>
          <w:rFonts w:ascii="仿宋_GB2312" w:eastAsia="仿宋_GB2312"/>
          <w:sz w:val="32"/>
          <w:szCs w:val="32"/>
        </w:rPr>
      </w:pPr>
      <w:r>
        <w:rPr>
          <w:rFonts w:hint="eastAsia" w:ascii="仿宋_GB2312" w:eastAsia="仿宋_GB2312"/>
          <w:sz w:val="32"/>
          <w:szCs w:val="32"/>
        </w:rPr>
        <w:t>6.各单位在行使奖励性绩效工资二次分配的自主权时</w:t>
      </w:r>
      <w:r>
        <w:rPr>
          <w:rFonts w:ascii="仿宋_GB2312" w:eastAsia="仿宋_GB2312"/>
          <w:sz w:val="32"/>
          <w:szCs w:val="32"/>
        </w:rPr>
        <w:t>,</w:t>
      </w:r>
      <w:r>
        <w:rPr>
          <w:rFonts w:hint="eastAsia" w:ascii="仿宋_GB2312" w:eastAsia="仿宋_GB2312"/>
          <w:sz w:val="32"/>
          <w:szCs w:val="32"/>
        </w:rPr>
        <w:t>要坚持民主、公开、公平、公正的原则。每年的发放结果要在本单位公示</w:t>
      </w:r>
      <w:r>
        <w:rPr>
          <w:rFonts w:ascii="仿宋_GB2312" w:eastAsia="仿宋_GB2312"/>
          <w:sz w:val="32"/>
          <w:szCs w:val="32"/>
        </w:rPr>
        <w:t>3-5</w:t>
      </w:r>
      <w:r>
        <w:rPr>
          <w:rFonts w:hint="eastAsia" w:ascii="仿宋_GB2312" w:eastAsia="仿宋_GB2312"/>
          <w:sz w:val="32"/>
          <w:szCs w:val="32"/>
        </w:rPr>
        <w:t>个工作日，无异议后方可发放。</w:t>
      </w:r>
    </w:p>
    <w:p>
      <w:pPr>
        <w:spacing w:before="156" w:beforeLines="50" w:line="510" w:lineRule="exact"/>
        <w:ind w:firstLine="640" w:firstLineChars="200"/>
        <w:rPr>
          <w:rFonts w:ascii="仿宋_GB2312" w:eastAsia="仿宋_GB2312"/>
          <w:sz w:val="32"/>
          <w:szCs w:val="32"/>
        </w:rPr>
      </w:pPr>
      <w:r>
        <w:rPr>
          <w:rFonts w:hint="eastAsia" w:ascii="仿宋_GB2312" w:eastAsia="仿宋_GB2312"/>
          <w:sz w:val="32"/>
          <w:szCs w:val="32"/>
        </w:rPr>
        <w:t>7.年终发放的奖励性绩效工资要用于教职工各类工作量方面的支出，不得用于日常办公开支和聚餐、旅游、购物等事项。奖励性绩效工资必须一次性完成分配，如有剩余将由学校统一收回。</w:t>
      </w:r>
    </w:p>
    <w:p>
      <w:pPr>
        <w:spacing w:before="156" w:beforeLines="50" w:line="510" w:lineRule="exact"/>
        <w:ind w:firstLine="640" w:firstLineChars="200"/>
        <w:rPr>
          <w:rFonts w:ascii="仿宋_GB2312" w:eastAsia="仿宋_GB2312"/>
          <w:sz w:val="32"/>
          <w:szCs w:val="32"/>
        </w:rPr>
      </w:pPr>
      <w:r>
        <w:rPr>
          <w:rFonts w:hint="eastAsia" w:ascii="仿宋_GB2312" w:eastAsia="仿宋_GB2312"/>
          <w:sz w:val="32"/>
          <w:szCs w:val="32"/>
        </w:rPr>
        <w:t>8.各类奖励性津贴发放办法</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（1）业绩津贴发放标准</w:t>
      </w:r>
    </w:p>
    <w:tbl>
      <w:tblPr>
        <w:tblStyle w:val="8"/>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3"/>
        <w:gridCol w:w="2034"/>
        <w:gridCol w:w="9"/>
        <w:gridCol w:w="2051"/>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2913" w:type="pct"/>
            <w:gridSpan w:val="2"/>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教学科研系列专业技术岗位</w:t>
            </w:r>
          </w:p>
        </w:tc>
        <w:tc>
          <w:tcPr>
            <w:tcW w:w="2087" w:type="pct"/>
            <w:gridSpan w:val="3"/>
            <w:shd w:val="clear" w:color="auto" w:fill="auto"/>
            <w:vAlign w:val="center"/>
          </w:tcPr>
          <w:p>
            <w:pPr>
              <w:widowControl/>
              <w:ind w:right="31" w:rightChars="15"/>
              <w:jc w:val="center"/>
              <w:rPr>
                <w:rFonts w:ascii="宋体" w:hAnsi="宋体" w:cs="宋体"/>
                <w:kern w:val="0"/>
                <w:szCs w:val="21"/>
              </w:rPr>
            </w:pPr>
            <w:r>
              <w:rPr>
                <w:rFonts w:hint="eastAsia" w:ascii="宋体" w:hAnsi="宋体" w:cs="宋体"/>
                <w:kern w:val="0"/>
                <w:szCs w:val="21"/>
              </w:rPr>
              <w:t>其他系列专业技术岗位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职  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月计分标准</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职  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月计分标准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首席教授</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38</w:t>
            </w:r>
          </w:p>
        </w:tc>
        <w:tc>
          <w:tcPr>
            <w:tcW w:w="1166" w:type="pct"/>
            <w:gridSpan w:val="2"/>
            <w:vMerge w:val="restart"/>
            <w:shd w:val="clear" w:color="auto" w:fill="auto"/>
            <w:noWrap/>
            <w:vAlign w:val="center"/>
          </w:tcPr>
          <w:p>
            <w:pPr>
              <w:widowControl/>
              <w:jc w:val="center"/>
              <w:rPr>
                <w:rFonts w:ascii="宋体" w:hAnsi="宋体" w:cs="宋体"/>
                <w:kern w:val="0"/>
                <w:szCs w:val="21"/>
              </w:rPr>
            </w:pPr>
          </w:p>
        </w:tc>
        <w:tc>
          <w:tcPr>
            <w:tcW w:w="921" w:type="pct"/>
            <w:vMerge w:val="restart"/>
            <w:shd w:val="clear" w:color="auto" w:fill="auto"/>
            <w:noWrap/>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正高二级</w:t>
            </w:r>
          </w:p>
        </w:tc>
        <w:tc>
          <w:tcPr>
            <w:tcW w:w="1151"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34</w:t>
            </w:r>
          </w:p>
        </w:tc>
        <w:tc>
          <w:tcPr>
            <w:tcW w:w="1166" w:type="pct"/>
            <w:gridSpan w:val="2"/>
            <w:vMerge w:val="continue"/>
            <w:shd w:val="clear" w:color="auto" w:fill="auto"/>
            <w:noWrap/>
            <w:vAlign w:val="center"/>
          </w:tcPr>
          <w:p>
            <w:pPr>
              <w:widowControl/>
              <w:jc w:val="center"/>
              <w:rPr>
                <w:rFonts w:ascii="宋体" w:hAnsi="宋体" w:cs="宋体"/>
                <w:kern w:val="0"/>
                <w:szCs w:val="21"/>
              </w:rPr>
            </w:pPr>
          </w:p>
        </w:tc>
        <w:tc>
          <w:tcPr>
            <w:tcW w:w="921" w:type="pct"/>
            <w:vMerge w:val="continue"/>
            <w:shd w:val="clear" w:color="auto" w:fill="auto"/>
            <w:noWrap/>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正高三级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32</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正高三级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正高四级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29</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正高四级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副高五级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27</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副高五级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副高六级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24</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副高六级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副高七级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23</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副高七级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中级八级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21</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中级八级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中级九级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中级九级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中级十级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中级十级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初级十一级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17</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初级十一级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初级十二级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16</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初级十二级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员级十三级</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员级十三级</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博士初期</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博士初期</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硕士初期</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硕士初期</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见  习</w:t>
            </w:r>
          </w:p>
        </w:tc>
        <w:tc>
          <w:tcPr>
            <w:tcW w:w="115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13</w:t>
            </w:r>
          </w:p>
        </w:tc>
        <w:tc>
          <w:tcPr>
            <w:tcW w:w="1166" w:type="pct"/>
            <w:gridSpan w:val="2"/>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见  习</w:t>
            </w:r>
          </w:p>
        </w:tc>
        <w:tc>
          <w:tcPr>
            <w:tcW w:w="92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18" w:type="pct"/>
            <w:gridSpan w:val="3"/>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管理岗位</w:t>
            </w:r>
          </w:p>
        </w:tc>
        <w:tc>
          <w:tcPr>
            <w:tcW w:w="2082" w:type="pct"/>
            <w:gridSpan w:val="2"/>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工勤岗位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62" w:type="pct"/>
            <w:shd w:val="clear" w:color="auto" w:fill="auto"/>
            <w:vAlign w:val="center"/>
          </w:tcPr>
          <w:p>
            <w:pPr>
              <w:jc w:val="center"/>
              <w:rPr>
                <w:rFonts w:ascii="宋体" w:hAnsi="宋体" w:cs="宋体"/>
                <w:kern w:val="0"/>
                <w:szCs w:val="21"/>
              </w:rPr>
            </w:pPr>
            <w:r>
              <w:rPr>
                <w:rFonts w:hint="eastAsia" w:ascii="宋体" w:hAnsi="宋体" w:cs="宋体"/>
                <w:kern w:val="0"/>
                <w:szCs w:val="21"/>
              </w:rPr>
              <w:t>职  级</w:t>
            </w:r>
          </w:p>
        </w:tc>
        <w:tc>
          <w:tcPr>
            <w:tcW w:w="1156" w:type="pct"/>
            <w:gridSpan w:val="2"/>
            <w:shd w:val="clear" w:color="auto" w:fill="auto"/>
            <w:vAlign w:val="center"/>
          </w:tcPr>
          <w:p>
            <w:pPr>
              <w:jc w:val="center"/>
              <w:rPr>
                <w:rFonts w:ascii="宋体" w:hAnsi="宋体" w:cs="宋体"/>
                <w:kern w:val="0"/>
                <w:szCs w:val="21"/>
              </w:rPr>
            </w:pPr>
            <w:r>
              <w:rPr>
                <w:rFonts w:hint="eastAsia" w:ascii="宋体" w:hAnsi="宋体" w:cs="宋体"/>
                <w:kern w:val="0"/>
                <w:szCs w:val="21"/>
              </w:rPr>
              <w:t>月计分标准</w:t>
            </w:r>
          </w:p>
        </w:tc>
        <w:tc>
          <w:tcPr>
            <w:tcW w:w="1161" w:type="pct"/>
            <w:shd w:val="clear" w:color="auto" w:fill="auto"/>
            <w:vAlign w:val="center"/>
          </w:tcPr>
          <w:p>
            <w:pPr>
              <w:jc w:val="center"/>
              <w:rPr>
                <w:rFonts w:ascii="宋体" w:hAnsi="宋体" w:cs="宋体"/>
                <w:kern w:val="0"/>
                <w:szCs w:val="21"/>
              </w:rPr>
            </w:pPr>
            <w:r>
              <w:rPr>
                <w:rFonts w:hint="eastAsia" w:ascii="宋体" w:hAnsi="宋体" w:cs="宋体"/>
                <w:kern w:val="0"/>
                <w:szCs w:val="21"/>
              </w:rPr>
              <w:t>技术等级</w:t>
            </w:r>
          </w:p>
        </w:tc>
        <w:tc>
          <w:tcPr>
            <w:tcW w:w="921" w:type="pct"/>
            <w:shd w:val="clear" w:color="auto" w:fill="auto"/>
            <w:vAlign w:val="center"/>
          </w:tcPr>
          <w:p>
            <w:pPr>
              <w:jc w:val="center"/>
              <w:rPr>
                <w:rFonts w:ascii="宋体" w:hAnsi="宋体" w:cs="宋体"/>
                <w:kern w:val="0"/>
                <w:szCs w:val="21"/>
              </w:rPr>
            </w:pPr>
            <w:r>
              <w:rPr>
                <w:rFonts w:hint="eastAsia" w:ascii="宋体" w:hAnsi="宋体" w:cs="宋体"/>
                <w:kern w:val="0"/>
                <w:szCs w:val="21"/>
              </w:rPr>
              <w:t>月计分标准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三级职员（正厅级）</w:t>
            </w:r>
          </w:p>
        </w:tc>
        <w:tc>
          <w:tcPr>
            <w:tcW w:w="1156" w:type="pct"/>
            <w:gridSpan w:val="2"/>
            <w:shd w:val="clear" w:color="auto" w:fill="auto"/>
            <w:noWrap/>
            <w:vAlign w:val="center"/>
          </w:tcPr>
          <w:p>
            <w:pPr>
              <w:jc w:val="center"/>
              <w:rPr>
                <w:rFonts w:ascii="宋体" w:hAnsi="宋体" w:cs="宋体"/>
                <w:kern w:val="0"/>
                <w:szCs w:val="21"/>
              </w:rPr>
            </w:pPr>
            <w:r>
              <w:rPr>
                <w:rFonts w:hint="eastAsia" w:ascii="宋体" w:hAnsi="宋体" w:cs="宋体"/>
                <w:kern w:val="0"/>
                <w:szCs w:val="21"/>
              </w:rPr>
              <w:t>34</w:t>
            </w:r>
          </w:p>
        </w:tc>
        <w:tc>
          <w:tcPr>
            <w:tcW w:w="116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技  师</w:t>
            </w:r>
          </w:p>
        </w:tc>
        <w:tc>
          <w:tcPr>
            <w:tcW w:w="921"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62"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四级职员（副厅级）</w:t>
            </w:r>
          </w:p>
        </w:tc>
        <w:tc>
          <w:tcPr>
            <w:tcW w:w="1156" w:type="pct"/>
            <w:gridSpan w:val="2"/>
            <w:shd w:val="clear" w:color="auto" w:fill="auto"/>
            <w:vAlign w:val="center"/>
          </w:tcPr>
          <w:p>
            <w:pPr>
              <w:jc w:val="center"/>
              <w:rPr>
                <w:rFonts w:ascii="宋体" w:hAnsi="宋体" w:cs="宋体"/>
                <w:kern w:val="0"/>
                <w:szCs w:val="21"/>
              </w:rPr>
            </w:pPr>
            <w:r>
              <w:rPr>
                <w:rFonts w:hint="eastAsia" w:ascii="宋体" w:hAnsi="宋体" w:cs="宋体"/>
                <w:kern w:val="0"/>
                <w:szCs w:val="21"/>
              </w:rPr>
              <w:t>32</w:t>
            </w:r>
          </w:p>
        </w:tc>
        <w:tc>
          <w:tcPr>
            <w:tcW w:w="116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高级工</w:t>
            </w:r>
          </w:p>
        </w:tc>
        <w:tc>
          <w:tcPr>
            <w:tcW w:w="921"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五级职员（正处级/调研员）</w:t>
            </w:r>
          </w:p>
        </w:tc>
        <w:tc>
          <w:tcPr>
            <w:tcW w:w="1156" w:type="pct"/>
            <w:gridSpan w:val="2"/>
            <w:shd w:val="clear" w:color="auto" w:fill="auto"/>
            <w:vAlign w:val="center"/>
          </w:tcPr>
          <w:p>
            <w:pPr>
              <w:jc w:val="center"/>
              <w:rPr>
                <w:rFonts w:ascii="宋体" w:hAnsi="宋体" w:cs="宋体"/>
                <w:kern w:val="0"/>
                <w:szCs w:val="21"/>
              </w:rPr>
            </w:pPr>
            <w:r>
              <w:rPr>
                <w:rFonts w:hint="eastAsia" w:ascii="宋体" w:hAnsi="宋体" w:cs="宋体"/>
                <w:kern w:val="0"/>
                <w:szCs w:val="21"/>
              </w:rPr>
              <w:t>28</w:t>
            </w:r>
          </w:p>
        </w:tc>
        <w:tc>
          <w:tcPr>
            <w:tcW w:w="116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中级工</w:t>
            </w:r>
          </w:p>
        </w:tc>
        <w:tc>
          <w:tcPr>
            <w:tcW w:w="921"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六级职员（副处/副调研员）</w:t>
            </w:r>
          </w:p>
        </w:tc>
        <w:tc>
          <w:tcPr>
            <w:tcW w:w="1156" w:type="pct"/>
            <w:gridSpan w:val="2"/>
            <w:shd w:val="clear" w:color="auto" w:fill="auto"/>
            <w:noWrap/>
            <w:vAlign w:val="center"/>
          </w:tcPr>
          <w:p>
            <w:pPr>
              <w:jc w:val="center"/>
              <w:rPr>
                <w:rFonts w:ascii="宋体" w:hAnsi="宋体" w:cs="宋体"/>
                <w:kern w:val="0"/>
                <w:szCs w:val="21"/>
              </w:rPr>
            </w:pPr>
            <w:r>
              <w:rPr>
                <w:rFonts w:hint="eastAsia" w:ascii="宋体" w:hAnsi="宋体" w:cs="宋体"/>
                <w:kern w:val="0"/>
                <w:szCs w:val="21"/>
              </w:rPr>
              <w:t>23</w:t>
            </w:r>
          </w:p>
        </w:tc>
        <w:tc>
          <w:tcPr>
            <w:tcW w:w="116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初级工</w:t>
            </w:r>
          </w:p>
        </w:tc>
        <w:tc>
          <w:tcPr>
            <w:tcW w:w="921"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七级职员（正科级）</w:t>
            </w:r>
          </w:p>
        </w:tc>
        <w:tc>
          <w:tcPr>
            <w:tcW w:w="1156" w:type="pct"/>
            <w:gridSpan w:val="2"/>
            <w:shd w:val="clear" w:color="auto" w:fill="auto"/>
            <w:noWrap/>
            <w:vAlign w:val="center"/>
          </w:tcPr>
          <w:p>
            <w:pPr>
              <w:jc w:val="center"/>
              <w:rPr>
                <w:rFonts w:ascii="宋体" w:hAnsi="宋体" w:cs="宋体"/>
                <w:kern w:val="0"/>
                <w:szCs w:val="21"/>
              </w:rPr>
            </w:pPr>
            <w:r>
              <w:rPr>
                <w:rFonts w:hint="eastAsia" w:ascii="宋体" w:hAnsi="宋体" w:cs="宋体"/>
                <w:kern w:val="0"/>
                <w:szCs w:val="21"/>
              </w:rPr>
              <w:t>20</w:t>
            </w:r>
          </w:p>
        </w:tc>
        <w:tc>
          <w:tcPr>
            <w:tcW w:w="116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普  工</w:t>
            </w:r>
          </w:p>
        </w:tc>
        <w:tc>
          <w:tcPr>
            <w:tcW w:w="921"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八级职员（副科级）</w:t>
            </w:r>
          </w:p>
        </w:tc>
        <w:tc>
          <w:tcPr>
            <w:tcW w:w="1156" w:type="pct"/>
            <w:gridSpan w:val="2"/>
            <w:shd w:val="clear" w:color="auto" w:fill="auto"/>
            <w:noWrap/>
            <w:vAlign w:val="center"/>
          </w:tcPr>
          <w:p>
            <w:pPr>
              <w:jc w:val="center"/>
              <w:rPr>
                <w:rFonts w:ascii="宋体" w:hAnsi="宋体" w:cs="宋体"/>
                <w:kern w:val="0"/>
                <w:szCs w:val="21"/>
              </w:rPr>
            </w:pPr>
            <w:r>
              <w:rPr>
                <w:rFonts w:hint="eastAsia" w:ascii="宋体" w:hAnsi="宋体" w:cs="宋体"/>
                <w:kern w:val="0"/>
                <w:szCs w:val="21"/>
              </w:rPr>
              <w:t>17</w:t>
            </w:r>
          </w:p>
        </w:tc>
        <w:tc>
          <w:tcPr>
            <w:tcW w:w="1161"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学徒期、熟练期</w:t>
            </w:r>
          </w:p>
        </w:tc>
        <w:tc>
          <w:tcPr>
            <w:tcW w:w="921"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082" w:type="pct"/>
          <w:trHeight w:val="397" w:hRule="atLeast"/>
        </w:trPr>
        <w:tc>
          <w:tcPr>
            <w:tcW w:w="1762"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九级职员（科员）</w:t>
            </w:r>
          </w:p>
        </w:tc>
        <w:tc>
          <w:tcPr>
            <w:tcW w:w="1156" w:type="pct"/>
            <w:gridSpan w:val="2"/>
            <w:shd w:val="clear" w:color="auto" w:fill="auto"/>
            <w:noWrap/>
            <w:vAlign w:val="center"/>
          </w:tcPr>
          <w:p>
            <w:pPr>
              <w:jc w:val="center"/>
              <w:rPr>
                <w:rFonts w:ascii="宋体" w:hAnsi="宋体" w:cs="宋体"/>
                <w:kern w:val="0"/>
                <w:szCs w:val="21"/>
              </w:rPr>
            </w:pPr>
            <w:r>
              <w:rPr>
                <w:rFonts w:hint="eastAsia" w:ascii="宋体" w:hAnsi="宋体" w:cs="宋体"/>
                <w:kern w:val="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082" w:type="pct"/>
          <w:trHeight w:val="397" w:hRule="atLeast"/>
        </w:trPr>
        <w:tc>
          <w:tcPr>
            <w:tcW w:w="1762" w:type="pct"/>
            <w:shd w:val="clear" w:color="auto" w:fill="auto"/>
            <w:noWrap/>
            <w:vAlign w:val="center"/>
          </w:tcPr>
          <w:p>
            <w:pPr>
              <w:jc w:val="center"/>
              <w:rPr>
                <w:rFonts w:ascii="宋体" w:hAnsi="宋体" w:cs="宋体"/>
                <w:kern w:val="0"/>
                <w:szCs w:val="21"/>
              </w:rPr>
            </w:pPr>
            <w:r>
              <w:rPr>
                <w:rFonts w:hint="eastAsia" w:ascii="宋体" w:hAnsi="宋体" w:cs="宋体"/>
                <w:kern w:val="0"/>
                <w:szCs w:val="21"/>
              </w:rPr>
              <w:t>十级职员（办事员）</w:t>
            </w:r>
          </w:p>
        </w:tc>
        <w:tc>
          <w:tcPr>
            <w:tcW w:w="1156" w:type="pct"/>
            <w:gridSpan w:val="2"/>
            <w:shd w:val="clear" w:color="auto" w:fill="auto"/>
            <w:noWrap/>
            <w:vAlign w:val="center"/>
          </w:tcPr>
          <w:p>
            <w:pPr>
              <w:jc w:val="center"/>
              <w:rPr>
                <w:rFonts w:ascii="宋体" w:hAnsi="宋体" w:cs="宋体"/>
                <w:kern w:val="0"/>
                <w:szCs w:val="21"/>
              </w:rPr>
            </w:pPr>
            <w:r>
              <w:rPr>
                <w:rFonts w:hint="eastAsia" w:ascii="宋体" w:hAnsi="宋体" w:cs="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082" w:type="pct"/>
          <w:trHeight w:val="397"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硕士初期</w:t>
            </w:r>
          </w:p>
        </w:tc>
        <w:tc>
          <w:tcPr>
            <w:tcW w:w="1156" w:type="pct"/>
            <w:gridSpan w:val="2"/>
            <w:shd w:val="clear" w:color="auto" w:fill="auto"/>
            <w:noWrap/>
            <w:vAlign w:val="center"/>
          </w:tcPr>
          <w:p>
            <w:pPr>
              <w:jc w:val="center"/>
              <w:rPr>
                <w:rFonts w:ascii="宋体" w:hAnsi="宋体" w:cs="宋体"/>
                <w:kern w:val="0"/>
                <w:szCs w:val="21"/>
              </w:rPr>
            </w:pPr>
            <w:r>
              <w:rPr>
                <w:rFonts w:hint="eastAsia" w:ascii="宋体" w:hAnsi="宋体" w:cs="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082" w:type="pct"/>
          <w:trHeight w:val="397" w:hRule="atLeast"/>
        </w:trPr>
        <w:tc>
          <w:tcPr>
            <w:tcW w:w="1762" w:type="pct"/>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见  习</w:t>
            </w:r>
          </w:p>
        </w:tc>
        <w:tc>
          <w:tcPr>
            <w:tcW w:w="1156" w:type="pct"/>
            <w:gridSpan w:val="2"/>
            <w:shd w:val="clear" w:color="auto" w:fill="auto"/>
            <w:noWrap/>
            <w:vAlign w:val="center"/>
          </w:tcPr>
          <w:p>
            <w:pPr>
              <w:jc w:val="center"/>
              <w:rPr>
                <w:rFonts w:ascii="宋体" w:hAnsi="宋体" w:cs="宋体"/>
                <w:kern w:val="0"/>
                <w:szCs w:val="21"/>
              </w:rPr>
            </w:pPr>
            <w:r>
              <w:rPr>
                <w:rFonts w:hint="eastAsia" w:ascii="宋体" w:hAnsi="宋体" w:cs="宋体"/>
                <w:kern w:val="0"/>
                <w:szCs w:val="21"/>
              </w:rPr>
              <w:t>13</w:t>
            </w:r>
          </w:p>
        </w:tc>
      </w:tr>
    </w:tbl>
    <w:p>
      <w:pPr>
        <w:spacing w:before="156" w:beforeLines="50" w:line="520" w:lineRule="exact"/>
        <w:rPr>
          <w:rFonts w:ascii="仿宋_GB2312" w:eastAsia="仿宋_GB2312"/>
          <w:sz w:val="32"/>
          <w:szCs w:val="32"/>
        </w:rPr>
      </w:pPr>
      <w:r>
        <w:rPr>
          <w:rFonts w:ascii="仿宋_GB2312" w:eastAsia="仿宋_GB2312"/>
          <w:sz w:val="32"/>
          <w:szCs w:val="32"/>
        </w:rPr>
        <w:t>注：</w:t>
      </w:r>
      <w:r>
        <w:rPr>
          <w:rFonts w:hint="eastAsia" w:ascii="仿宋_GB2312" w:eastAsia="仿宋_GB2312"/>
          <w:sz w:val="32"/>
          <w:szCs w:val="32"/>
        </w:rPr>
        <w:t>三级职员</w:t>
      </w:r>
      <w:r>
        <w:rPr>
          <w:rFonts w:ascii="仿宋_GB2312" w:eastAsia="仿宋_GB2312"/>
          <w:sz w:val="32"/>
          <w:szCs w:val="32"/>
        </w:rPr>
        <w:t>、四级职员的业绩津贴按学校规定预发，绩效工资总量</w:t>
      </w:r>
      <w:r>
        <w:rPr>
          <w:rFonts w:hint="eastAsia" w:ascii="仿宋_GB2312" w:eastAsia="仿宋_GB2312"/>
          <w:sz w:val="32"/>
          <w:szCs w:val="32"/>
        </w:rPr>
        <w:t>严格</w:t>
      </w:r>
      <w:r>
        <w:rPr>
          <w:rFonts w:ascii="仿宋_GB2312" w:eastAsia="仿宋_GB2312"/>
          <w:sz w:val="32"/>
          <w:szCs w:val="32"/>
        </w:rPr>
        <w:t>按照上级规定核发。</w:t>
      </w:r>
    </w:p>
    <w:p>
      <w:pPr>
        <w:spacing w:before="156" w:beforeLines="50" w:line="520" w:lineRule="exact"/>
        <w:ind w:firstLine="640" w:firstLineChars="200"/>
        <w:rPr>
          <w:rFonts w:ascii="仿宋_GB2312" w:eastAsia="仿宋_GB2312"/>
          <w:sz w:val="32"/>
          <w:szCs w:val="32"/>
        </w:rPr>
      </w:pPr>
      <w:r>
        <w:rPr>
          <w:rFonts w:hint="eastAsia" w:ascii="仿宋_GB2312" w:eastAsia="仿宋_GB2312"/>
          <w:sz w:val="32"/>
          <w:szCs w:val="32"/>
        </w:rPr>
        <w:t>（2）业绩津贴发放办法</w:t>
      </w:r>
    </w:p>
    <w:tbl>
      <w:tblPr>
        <w:tblStyle w:val="8"/>
        <w:tblW w:w="8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126"/>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人员</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类型</w:t>
            </w:r>
          </w:p>
        </w:tc>
        <w:tc>
          <w:tcPr>
            <w:tcW w:w="510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实发数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A岗</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科研工作未完成</w:t>
            </w:r>
          </w:p>
        </w:tc>
        <w:tc>
          <w:tcPr>
            <w:tcW w:w="510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按学校和学院规定执行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8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24"/>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教学工作未完成</w:t>
            </w:r>
          </w:p>
        </w:tc>
        <w:tc>
          <w:tcPr>
            <w:tcW w:w="510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应发数*教学工作额定比例*教学工作实际完成比例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其他岗位</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未完成额定工作量</w:t>
            </w:r>
          </w:p>
        </w:tc>
        <w:tc>
          <w:tcPr>
            <w:tcW w:w="510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4"/>
              </w:rPr>
            </w:pPr>
            <w:r>
              <w:rPr>
                <w:rFonts w:hint="eastAsia" w:asciiTheme="minorEastAsia" w:hAnsiTheme="minorEastAsia" w:eastAsiaTheme="minorEastAsia"/>
              </w:rPr>
              <w:t>按学校和学院规定执行</w:t>
            </w:r>
          </w:p>
        </w:tc>
      </w:tr>
    </w:tbl>
    <w:p>
      <w:pPr>
        <w:spacing w:before="156" w:beforeLines="50" w:line="520" w:lineRule="exact"/>
        <w:ind w:firstLine="640" w:firstLineChars="200"/>
        <w:rPr>
          <w:rFonts w:ascii="仿宋_GB2312" w:eastAsia="仿宋_GB2312"/>
          <w:sz w:val="32"/>
          <w:szCs w:val="32"/>
        </w:rPr>
      </w:pPr>
      <w:r>
        <w:rPr>
          <w:rFonts w:ascii="仿宋_GB2312" w:eastAsia="仿宋_GB2312"/>
          <w:sz w:val="32"/>
          <w:szCs w:val="32"/>
        </w:rPr>
        <w:t>a.</w:t>
      </w:r>
      <w:r>
        <w:rPr>
          <w:rFonts w:hint="eastAsia" w:ascii="仿宋_GB2312" w:eastAsia="仿宋_GB2312"/>
          <w:sz w:val="32"/>
          <w:szCs w:val="32"/>
        </w:rPr>
        <w:t>业绩津贴分月预发办法</w:t>
      </w:r>
    </w:p>
    <w:p>
      <w:pPr>
        <w:spacing w:before="156" w:beforeLines="50" w:line="520" w:lineRule="exact"/>
        <w:ind w:firstLine="640" w:firstLineChars="200"/>
        <w:rPr>
          <w:rFonts w:ascii="仿宋_GB2312" w:eastAsia="仿宋_GB2312"/>
          <w:sz w:val="32"/>
          <w:szCs w:val="32"/>
        </w:rPr>
      </w:pPr>
      <w:r>
        <w:rPr>
          <w:rFonts w:hint="eastAsia" w:ascii="仿宋_GB2312" w:eastAsia="仿宋_GB2312"/>
          <w:sz w:val="32"/>
          <w:szCs w:val="32"/>
        </w:rPr>
        <w:t>原则上教职工年终奖励性绩效工资业绩津贴部分可分月预发，预发比例不得超过绩效工资的35%，各单位可根据本单位具体情况制定业绩津贴分月预发方案。</w:t>
      </w:r>
    </w:p>
    <w:p>
      <w:pPr>
        <w:spacing w:before="156" w:beforeLines="50" w:line="520" w:lineRule="exact"/>
        <w:ind w:firstLine="640" w:firstLineChars="200"/>
        <w:rPr>
          <w:rFonts w:ascii="仿宋_GB2312" w:eastAsia="仿宋_GB2312"/>
          <w:sz w:val="32"/>
          <w:szCs w:val="32"/>
        </w:rPr>
      </w:pPr>
      <w:r>
        <w:rPr>
          <w:rFonts w:hint="eastAsia" w:ascii="仿宋_GB2312" w:eastAsia="仿宋_GB2312"/>
          <w:sz w:val="32"/>
          <w:szCs w:val="32"/>
        </w:rPr>
        <w:t>绩效工资预发总量从年终各单位奖励性绩效工资总量中扣发，各单位和个人均不得超支预发，否则后果由各单位自行承担。奖励性绩效工资总量可参照上一年标准。教职工申报的业绩津贴每月预发数应为等额固定值，且一般不超过本人上年度业绩津贴的十二分之一。一般每年调整一次，次年分月预发数应于上一年12月20日前确定。</w:t>
      </w:r>
    </w:p>
    <w:p>
      <w:pPr>
        <w:spacing w:before="156" w:beforeLines="50" w:line="520" w:lineRule="exact"/>
        <w:ind w:firstLine="640" w:firstLineChars="200"/>
        <w:rPr>
          <w:rFonts w:ascii="仿宋_GB2312" w:eastAsia="仿宋_GB2312"/>
          <w:sz w:val="32"/>
          <w:szCs w:val="32"/>
        </w:rPr>
      </w:pPr>
      <w:r>
        <w:rPr>
          <w:rFonts w:hint="eastAsia" w:ascii="仿宋_GB2312" w:eastAsia="仿宋_GB2312"/>
          <w:sz w:val="32"/>
          <w:szCs w:val="32"/>
        </w:rPr>
        <w:t>b.各类人员的业绩津贴发放办法</w:t>
      </w:r>
    </w:p>
    <w:p>
      <w:pPr>
        <w:spacing w:before="156" w:beforeLines="50" w:line="520" w:lineRule="exact"/>
        <w:ind w:firstLine="640" w:firstLineChars="200"/>
        <w:rPr>
          <w:rFonts w:ascii="仿宋_GB2312" w:eastAsia="仿宋_GB2312"/>
          <w:sz w:val="32"/>
          <w:szCs w:val="32"/>
        </w:rPr>
      </w:pPr>
      <w:r>
        <w:rPr>
          <w:rFonts w:hint="eastAsia" w:ascii="仿宋_GB2312" w:eastAsia="仿宋_GB2312"/>
          <w:sz w:val="32"/>
          <w:szCs w:val="32"/>
        </w:rPr>
        <w:t>年度绩效考核合格及以上人员，业绩津贴全额发放；年度绩效考核基本合格按80%发放；年度绩效考核不合格的，停发下一年度的业绩津贴。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——专业技术岗位人员的业绩津贴分教学科研岗位业绩津贴和其他专业技术岗位业绩津贴。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①聘任在教学科研岗位或其他专业技术岗位的人员（含内聘岗位），教学、科研和工作业绩经考核，由学校绩效考核领导小组确认，按相应的计分标准核发业绩津贴。考核不合格人员停发业绩津贴。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②未完成所聘岗位规定任务的人员，按折抵后完成工作量的比例发放业绩津贴。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③已获报酬的课时不重复计算。</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——管理岗位人员</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根据绩效考核结果，绩效考核等次为合格及以上人员，学校按照管理人员3-10级业绩津贴标准发放；不合格人员停发业绩津贴。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——工勤岗位人员</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根据绩效考核结果，绩效考核等次为合格及以上人员，学校按照工勤人员1-5级业绩津贴标准发放；不合格人员停发业绩津贴。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——以管理为主的专业技术岗位人员</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管理岗位和专业技术岗位按学校、学院有关规定进行考核。本人可任选一类岗位就高兑现业绩津贴，业绩津贴由学校根据考核结果按所选岗位业绩津贴标准统一核发。</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——当年新进人员</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根据实际工作时间和考核结果，一般情况下，当年新进博士按博士初期发放业绩津贴，当年新进硕士按硕士初期发放业绩津贴；当年其他调入人员，正高按专技岗四级、副高按专技岗七级、中级按专技岗十级、初级按专技岗十二级发放业绩津贴，引进人才待遇</w:t>
      </w:r>
      <w:r>
        <w:rPr>
          <w:rFonts w:hint="eastAsia" w:ascii="仿宋_GB2312" w:eastAsia="仿宋_GB2312"/>
          <w:bCs/>
          <w:sz w:val="32"/>
          <w:szCs w:val="32"/>
        </w:rPr>
        <w:t>或未尽事宜</w:t>
      </w:r>
      <w:r>
        <w:rPr>
          <w:rFonts w:hint="eastAsia" w:ascii="仿宋_GB2312" w:eastAsia="仿宋_GB2312"/>
          <w:sz w:val="32"/>
          <w:szCs w:val="32"/>
        </w:rPr>
        <w:t>按学校研究决定或协议执行。</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（3）超课时津贴</w:t>
      </w:r>
    </w:p>
    <w:p>
      <w:pPr>
        <w:spacing w:line="520" w:lineRule="exact"/>
        <w:ind w:firstLine="640" w:firstLineChars="200"/>
        <w:rPr>
          <w:rFonts w:ascii="宋体" w:hAnsi="宋体"/>
          <w:sz w:val="32"/>
          <w:szCs w:val="32"/>
        </w:rPr>
      </w:pPr>
      <w:r>
        <w:rPr>
          <w:rFonts w:hint="eastAsia" w:ascii="仿宋_GB2312" w:eastAsia="仿宋_GB2312"/>
          <w:sz w:val="32"/>
          <w:szCs w:val="32"/>
        </w:rPr>
        <w:t>超出学校和学院规定的额定教学工作量，学院给予超教学工作量津贴。超课时津贴学校统一拨付到教学学院，由教学学院根据工作量大小、职称级别、教学效果等进行再分配。</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（4）超工作量津贴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超工作量津贴是指其它专业技术岗、工勤技能岗和管理岗人员超工</w:t>
      </w:r>
      <w:r>
        <w:rPr>
          <w:rFonts w:hint="eastAsia" w:ascii="仿宋_GB2312" w:eastAsia="仿宋_GB2312"/>
          <w:spacing w:val="-4"/>
          <w:sz w:val="32"/>
          <w:szCs w:val="32"/>
        </w:rPr>
        <w:t>作量学校给</w:t>
      </w:r>
      <w:r>
        <w:rPr>
          <w:rFonts w:hint="eastAsia" w:ascii="仿宋_GB2312" w:eastAsia="仿宋_GB2312"/>
          <w:sz w:val="32"/>
          <w:szCs w:val="32"/>
        </w:rPr>
        <w:t>予的补贴。机关和教辅单位根据全校超标准课时人均津贴的80%，再按不同职级给予适当的补贴；教学单位按照本单位超标准课时人均津贴的80%，再按不同职级给予适当的补贴。超工作量津贴发放后，不得在核定的绩效工资总量外自行发放任何津贴、补贴、劳务、奖金或加班费。</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超工作量津贴补贴系数：科员、初级职称、中级工及以下人员0.5，高级工0.6，科级、中级职称人员及技师0.7，处级、副高职称人员0.8，厅级、正高职称人员1.0。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超工作量津贴发放时C岗（其他系列专业技术人员）、G岗（工勤技能人员），以职称为计算系数；B岗（管理人员）、D岗（以管理为主的教学科研人员）、E岗（以管理为主的其他系列专业技术人员）以职务为计算系数，计算的标准为教学科研岗人员人均超课时津贴数。</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（5）责任津贴</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责任津贴发放计分标准如下：</w:t>
      </w:r>
    </w:p>
    <w:tbl>
      <w:tblPr>
        <w:tblStyle w:val="8"/>
        <w:tblW w:w="8307"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297"/>
        <w:gridCol w:w="1297"/>
        <w:gridCol w:w="1588"/>
        <w:gridCol w:w="1297"/>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31" w:type="dxa"/>
            <w:vAlign w:val="center"/>
          </w:tcPr>
          <w:p>
            <w:pPr>
              <w:widowControl/>
              <w:jc w:val="center"/>
              <w:rPr>
                <w:rFonts w:ascii="宋体" w:hAnsi="宋体" w:cs="宋体"/>
                <w:kern w:val="0"/>
                <w:szCs w:val="21"/>
              </w:rPr>
            </w:pPr>
            <w:r>
              <w:rPr>
                <w:rFonts w:hint="eastAsia" w:ascii="宋体" w:hAnsi="宋体" w:cs="宋体"/>
                <w:kern w:val="0"/>
                <w:szCs w:val="21"/>
              </w:rPr>
              <w:t>领导职务</w:t>
            </w:r>
          </w:p>
        </w:tc>
        <w:tc>
          <w:tcPr>
            <w:tcW w:w="1297" w:type="dxa"/>
            <w:vAlign w:val="center"/>
          </w:tcPr>
          <w:p>
            <w:pPr>
              <w:widowControl/>
              <w:jc w:val="center"/>
              <w:rPr>
                <w:rFonts w:ascii="宋体" w:hAnsi="宋体" w:cs="宋体"/>
                <w:kern w:val="0"/>
                <w:szCs w:val="21"/>
              </w:rPr>
            </w:pPr>
            <w:r>
              <w:rPr>
                <w:rFonts w:hint="eastAsia" w:ascii="宋体" w:hAnsi="宋体" w:cs="宋体"/>
                <w:kern w:val="0"/>
                <w:szCs w:val="21"/>
              </w:rPr>
              <w:t>正厅级</w:t>
            </w:r>
          </w:p>
        </w:tc>
        <w:tc>
          <w:tcPr>
            <w:tcW w:w="1297" w:type="dxa"/>
            <w:vAlign w:val="center"/>
          </w:tcPr>
          <w:p>
            <w:pPr>
              <w:widowControl/>
              <w:jc w:val="center"/>
              <w:rPr>
                <w:rFonts w:ascii="宋体" w:hAnsi="宋体" w:cs="宋体"/>
                <w:kern w:val="0"/>
                <w:szCs w:val="21"/>
              </w:rPr>
            </w:pPr>
            <w:r>
              <w:rPr>
                <w:rFonts w:hint="eastAsia" w:ascii="宋体" w:hAnsi="宋体" w:cs="宋体"/>
                <w:kern w:val="0"/>
                <w:szCs w:val="21"/>
              </w:rPr>
              <w:t>副厅级</w:t>
            </w:r>
          </w:p>
        </w:tc>
        <w:tc>
          <w:tcPr>
            <w:tcW w:w="1588" w:type="dxa"/>
            <w:vAlign w:val="center"/>
          </w:tcPr>
          <w:p>
            <w:pPr>
              <w:widowControl/>
              <w:jc w:val="center"/>
              <w:rPr>
                <w:rFonts w:ascii="宋体" w:hAnsi="宋体" w:cs="宋体"/>
                <w:kern w:val="0"/>
                <w:szCs w:val="21"/>
                <w:u w:val="single"/>
              </w:rPr>
            </w:pPr>
            <w:r>
              <w:rPr>
                <w:rFonts w:hint="eastAsia" w:ascii="宋体" w:hAnsi="宋体" w:cs="宋体"/>
                <w:kern w:val="0"/>
                <w:szCs w:val="21"/>
                <w:u w:val="single"/>
              </w:rPr>
              <w:t>党委常委</w:t>
            </w:r>
          </w:p>
        </w:tc>
        <w:tc>
          <w:tcPr>
            <w:tcW w:w="1297" w:type="dxa"/>
            <w:vAlign w:val="center"/>
          </w:tcPr>
          <w:p>
            <w:pPr>
              <w:widowControl/>
              <w:jc w:val="center"/>
              <w:rPr>
                <w:rFonts w:ascii="宋体" w:hAnsi="宋体" w:cs="宋体"/>
                <w:kern w:val="0"/>
                <w:szCs w:val="21"/>
              </w:rPr>
            </w:pPr>
            <w:r>
              <w:rPr>
                <w:rFonts w:hint="eastAsia" w:ascii="宋体" w:hAnsi="宋体" w:cs="宋体"/>
                <w:kern w:val="0"/>
                <w:szCs w:val="21"/>
              </w:rPr>
              <w:t>正处级</w:t>
            </w:r>
          </w:p>
        </w:tc>
        <w:tc>
          <w:tcPr>
            <w:tcW w:w="1297" w:type="dxa"/>
            <w:vAlign w:val="center"/>
          </w:tcPr>
          <w:p>
            <w:pPr>
              <w:widowControl/>
              <w:jc w:val="center"/>
              <w:rPr>
                <w:rFonts w:ascii="宋体" w:hAnsi="宋体" w:cs="宋体"/>
                <w:kern w:val="0"/>
                <w:szCs w:val="21"/>
              </w:rPr>
            </w:pPr>
            <w:r>
              <w:rPr>
                <w:rFonts w:hint="eastAsia" w:ascii="宋体" w:hAnsi="宋体" w:cs="宋体"/>
                <w:kern w:val="0"/>
                <w:szCs w:val="21"/>
              </w:rPr>
              <w:t>副处级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31" w:type="dxa"/>
            <w:vAlign w:val="center"/>
          </w:tcPr>
          <w:p>
            <w:pPr>
              <w:widowControl/>
              <w:jc w:val="center"/>
              <w:rPr>
                <w:rFonts w:ascii="宋体" w:hAnsi="宋体" w:cs="宋体"/>
                <w:kern w:val="0"/>
                <w:szCs w:val="21"/>
              </w:rPr>
            </w:pPr>
            <w:r>
              <w:rPr>
                <w:rFonts w:hint="eastAsia" w:ascii="宋体" w:hAnsi="宋体" w:cs="宋体"/>
                <w:kern w:val="0"/>
                <w:szCs w:val="21"/>
              </w:rPr>
              <w:t>月计分标准</w:t>
            </w:r>
          </w:p>
        </w:tc>
        <w:tc>
          <w:tcPr>
            <w:tcW w:w="1297" w:type="dxa"/>
            <w:vAlign w:val="center"/>
          </w:tcPr>
          <w:p>
            <w:pPr>
              <w:widowControl/>
              <w:jc w:val="center"/>
              <w:rPr>
                <w:rFonts w:ascii="宋体" w:hAnsi="宋体" w:cs="宋体"/>
                <w:kern w:val="0"/>
                <w:szCs w:val="21"/>
              </w:rPr>
            </w:pPr>
            <w:r>
              <w:rPr>
                <w:rFonts w:hint="eastAsia" w:ascii="宋体" w:hAnsi="宋体" w:cs="宋体"/>
                <w:kern w:val="0"/>
                <w:szCs w:val="21"/>
              </w:rPr>
              <w:t>9</w:t>
            </w:r>
          </w:p>
        </w:tc>
        <w:tc>
          <w:tcPr>
            <w:tcW w:w="1297" w:type="dxa"/>
            <w:vAlign w:val="center"/>
          </w:tcPr>
          <w:p>
            <w:pPr>
              <w:widowControl/>
              <w:ind w:firstLine="420" w:firstLineChars="200"/>
              <w:rPr>
                <w:rFonts w:ascii="宋体" w:hAnsi="宋体" w:cs="宋体"/>
                <w:kern w:val="0"/>
                <w:szCs w:val="21"/>
              </w:rPr>
            </w:pPr>
            <w:r>
              <w:rPr>
                <w:rFonts w:hint="eastAsia" w:ascii="宋体" w:hAnsi="宋体" w:cs="宋体"/>
                <w:kern w:val="0"/>
                <w:szCs w:val="21"/>
              </w:rPr>
              <w:t>7</w:t>
            </w:r>
          </w:p>
        </w:tc>
        <w:tc>
          <w:tcPr>
            <w:tcW w:w="1588" w:type="dxa"/>
            <w:vAlign w:val="center"/>
          </w:tcPr>
          <w:p>
            <w:pPr>
              <w:widowControl/>
              <w:jc w:val="center"/>
              <w:rPr>
                <w:rFonts w:ascii="宋体" w:hAnsi="宋体" w:cs="宋体"/>
                <w:kern w:val="0"/>
                <w:szCs w:val="21"/>
              </w:rPr>
            </w:pPr>
            <w:r>
              <w:rPr>
                <w:rFonts w:hint="eastAsia" w:ascii="宋体" w:hAnsi="宋体" w:cs="宋体"/>
                <w:kern w:val="0"/>
                <w:szCs w:val="21"/>
              </w:rPr>
              <w:t>6</w:t>
            </w:r>
          </w:p>
        </w:tc>
        <w:tc>
          <w:tcPr>
            <w:tcW w:w="1297" w:type="dxa"/>
            <w:vAlign w:val="center"/>
          </w:tcPr>
          <w:p>
            <w:pPr>
              <w:widowControl/>
              <w:jc w:val="center"/>
              <w:rPr>
                <w:rFonts w:ascii="宋体" w:hAnsi="宋体" w:cs="宋体"/>
                <w:kern w:val="0"/>
                <w:szCs w:val="21"/>
              </w:rPr>
            </w:pPr>
            <w:r>
              <w:rPr>
                <w:rFonts w:hint="eastAsia" w:ascii="宋体" w:hAnsi="宋体" w:cs="宋体"/>
                <w:kern w:val="0"/>
                <w:szCs w:val="21"/>
              </w:rPr>
              <w:t>5</w:t>
            </w:r>
          </w:p>
        </w:tc>
        <w:tc>
          <w:tcPr>
            <w:tcW w:w="1297" w:type="dxa"/>
            <w:vAlign w:val="center"/>
          </w:tcPr>
          <w:p>
            <w:pPr>
              <w:widowControl/>
              <w:jc w:val="center"/>
              <w:rPr>
                <w:rFonts w:ascii="宋体" w:hAnsi="宋体" w:cs="宋体"/>
                <w:kern w:val="0"/>
                <w:szCs w:val="21"/>
              </w:rPr>
            </w:pPr>
            <w:r>
              <w:rPr>
                <w:rFonts w:hint="eastAsia" w:ascii="宋体" w:hAnsi="宋体" w:cs="宋体"/>
                <w:kern w:val="0"/>
                <w:szCs w:val="21"/>
              </w:rPr>
              <w:t>3</w:t>
            </w:r>
          </w:p>
        </w:tc>
      </w:tr>
    </w:tbl>
    <w:p>
      <w:pPr>
        <w:spacing w:line="600" w:lineRule="exact"/>
        <w:ind w:firstLine="640" w:firstLineChars="200"/>
        <w:rPr>
          <w:rFonts w:ascii="仿宋_GB2312" w:eastAsia="仿宋_GB2312"/>
          <w:sz w:val="32"/>
          <w:szCs w:val="32"/>
        </w:rPr>
      </w:pPr>
      <w:r>
        <w:rPr>
          <w:rFonts w:hint="eastAsia" w:ascii="仿宋_GB2312" w:eastAsia="仿宋_GB2312"/>
          <w:sz w:val="32"/>
          <w:szCs w:val="32"/>
        </w:rPr>
        <w:t>注</w:t>
      </w:r>
      <w:r>
        <w:rPr>
          <w:rFonts w:ascii="仿宋_GB2312" w:eastAsia="仿宋_GB2312"/>
          <w:sz w:val="32"/>
          <w:szCs w:val="32"/>
        </w:rPr>
        <w:t>：</w:t>
      </w:r>
      <w:r>
        <w:rPr>
          <w:rFonts w:hint="eastAsia" w:ascii="仿宋_GB2312" w:eastAsia="仿宋_GB2312"/>
          <w:sz w:val="32"/>
          <w:szCs w:val="32"/>
        </w:rPr>
        <w:t>若</w:t>
      </w:r>
      <w:r>
        <w:rPr>
          <w:rFonts w:ascii="仿宋_GB2312" w:eastAsia="仿宋_GB2312"/>
          <w:sz w:val="32"/>
          <w:szCs w:val="32"/>
        </w:rPr>
        <w:t>同时任职厅级</w:t>
      </w:r>
      <w:r>
        <w:rPr>
          <w:rFonts w:hint="eastAsia" w:ascii="仿宋_GB2312" w:eastAsia="仿宋_GB2312"/>
          <w:sz w:val="32"/>
          <w:szCs w:val="32"/>
        </w:rPr>
        <w:t>领导</w:t>
      </w:r>
      <w:r>
        <w:rPr>
          <w:rFonts w:ascii="仿宋_GB2312" w:eastAsia="仿宋_GB2312"/>
          <w:sz w:val="32"/>
          <w:szCs w:val="32"/>
        </w:rPr>
        <w:t>、党委常委，</w:t>
      </w:r>
      <w:r>
        <w:rPr>
          <w:rFonts w:hint="eastAsia" w:ascii="仿宋_GB2312" w:eastAsia="仿宋_GB2312"/>
          <w:sz w:val="32"/>
          <w:szCs w:val="32"/>
        </w:rPr>
        <w:t>学校就高</w:t>
      </w:r>
      <w:r>
        <w:rPr>
          <w:rFonts w:ascii="仿宋_GB2312" w:eastAsia="仿宋_GB2312"/>
          <w:sz w:val="32"/>
          <w:szCs w:val="32"/>
        </w:rPr>
        <w:t>发放一项</w:t>
      </w:r>
      <w:r>
        <w:rPr>
          <w:rFonts w:hint="eastAsia" w:ascii="仿宋_GB2312" w:eastAsia="仿宋_GB2312"/>
          <w:sz w:val="32"/>
          <w:szCs w:val="32"/>
        </w:rPr>
        <w:t>责任津贴</w:t>
      </w:r>
      <w:r>
        <w:rPr>
          <w:rFonts w:ascii="仿宋_GB2312" w:eastAsia="仿宋_GB2312"/>
          <w:sz w:val="32"/>
          <w:szCs w:val="32"/>
        </w:rPr>
        <w:t>。</w:t>
      </w:r>
    </w:p>
    <w:p>
      <w:pPr>
        <w:spacing w:line="520" w:lineRule="exact"/>
        <w:ind w:firstLine="640" w:firstLineChars="200"/>
        <w:rPr>
          <w:rFonts w:ascii="仿宋_GB2312" w:eastAsia="仿宋_GB2312"/>
          <w:sz w:val="32"/>
          <w:szCs w:val="32"/>
          <w:highlight w:val="red"/>
        </w:rPr>
      </w:pPr>
      <w:r>
        <w:rPr>
          <w:rFonts w:hint="eastAsia" w:ascii="仿宋_GB2312" w:eastAsia="仿宋_GB2312"/>
          <w:sz w:val="32"/>
          <w:szCs w:val="32"/>
        </w:rPr>
        <w:t>（6）校内公共服务津贴</w:t>
      </w:r>
    </w:p>
    <w:p>
      <w:pPr>
        <w:spacing w:before="156" w:after="156" w:line="52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各单位层面开展的公共服务次数、劳务费、加班费等津贴考核和发放办法，由各单位自主确定，均从各单位奖励性绩效工资总量中支出，上限为本单位奖励性绩效工资总量的</w:t>
      </w:r>
      <w:r>
        <w:rPr>
          <w:rFonts w:ascii="仿宋_GB2312" w:hAnsi="宋体" w:eastAsia="仿宋_GB2312" w:cs="宋体"/>
          <w:kern w:val="0"/>
          <w:sz w:val="32"/>
          <w:szCs w:val="32"/>
        </w:rPr>
        <w:t>0.5%。</w:t>
      </w:r>
    </w:p>
    <w:p>
      <w:pPr>
        <w:spacing w:before="156" w:after="156" w:line="52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学校层面开展的全校性公共服务津贴按照年度实际发放的奖励性绩效工资总量的</w:t>
      </w:r>
      <w:r>
        <w:rPr>
          <w:rFonts w:ascii="仿宋_GB2312" w:hAnsi="宋体" w:eastAsia="仿宋_GB2312" w:cs="宋体"/>
          <w:kern w:val="0"/>
          <w:sz w:val="32"/>
          <w:szCs w:val="32"/>
        </w:rPr>
        <w:t>0.5%为上限核算，从学校绩效工资调节金中支出，不占各单位绩效总量。</w:t>
      </w:r>
    </w:p>
    <w:p>
      <w:pPr>
        <w:spacing w:before="156" w:after="156" w:line="520" w:lineRule="exact"/>
        <w:ind w:firstLine="624" w:firstLineChars="200"/>
        <w:rPr>
          <w:rFonts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t>每年年初开学，各单位报送在全校层面开展的公共服务计划（包括内容、时间、地点、人数等，每</w:t>
      </w:r>
      <w:r>
        <w:rPr>
          <w:rFonts w:ascii="仿宋_GB2312" w:hAnsi="宋体" w:eastAsia="仿宋_GB2312" w:cs="宋体"/>
          <w:spacing w:val="-4"/>
          <w:kern w:val="0"/>
          <w:sz w:val="32"/>
          <w:szCs w:val="32"/>
        </w:rPr>
        <w:t>1个小时计1分），经分管（联系）校领导同意后，由人事处汇总，经学校审定后公布。</w:t>
      </w:r>
    </w:p>
    <w:p>
      <w:pPr>
        <w:spacing w:before="156" w:after="156" w:line="52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每年年末，各单位报送校级层面公共服务开展情况，人事处牵头负责汇总，经学校审定后公示。</w:t>
      </w:r>
    </w:p>
    <w:p>
      <w:pPr>
        <w:pStyle w:val="6"/>
        <w:shd w:val="clear" w:color="auto" w:fill="FFFFFF"/>
        <w:spacing w:before="156" w:beforeLines="50" w:beforeAutospacing="0" w:after="156" w:afterLines="50" w:afterAutospacing="0" w:line="520" w:lineRule="exact"/>
        <w:ind w:firstLine="645"/>
        <w:jc w:val="both"/>
        <w:rPr>
          <w:rFonts w:ascii="仿宋_GB2312" w:eastAsia="仿宋_GB2312"/>
          <w:sz w:val="32"/>
          <w:szCs w:val="32"/>
        </w:rPr>
      </w:pPr>
      <w:r>
        <w:rPr>
          <w:rFonts w:hint="eastAsia" w:ascii="仿宋_GB2312" w:eastAsia="仿宋_GB2312"/>
          <w:sz w:val="32"/>
          <w:szCs w:val="32"/>
        </w:rPr>
        <w:t>参与学校学术委员会等各类专门委员会、各类领导小组（委员会）举行的活动，以及牵头组织校级公共服务活动的单位的工作人员，不得领取有关校内公共服务报酬。</w:t>
      </w:r>
    </w:p>
    <w:p>
      <w:pPr>
        <w:pStyle w:val="6"/>
        <w:shd w:val="clear" w:color="auto" w:fill="FFFFFF"/>
        <w:spacing w:before="156" w:beforeLines="50" w:beforeAutospacing="0" w:after="156" w:afterLines="50" w:afterAutospacing="0" w:line="520" w:lineRule="exact"/>
        <w:ind w:firstLine="645"/>
        <w:jc w:val="both"/>
        <w:rPr>
          <w:rFonts w:ascii="仿宋_GB2312" w:eastAsia="仿宋_GB2312"/>
          <w:sz w:val="32"/>
          <w:szCs w:val="32"/>
        </w:rPr>
      </w:pPr>
      <w:r>
        <w:rPr>
          <w:rFonts w:hint="eastAsia" w:ascii="仿宋_GB2312" w:eastAsia="仿宋_GB2312"/>
          <w:sz w:val="32"/>
          <w:szCs w:val="32"/>
        </w:rPr>
        <w:t>校级层面公共服务津贴单独核算，年终考核，经学校批准后发放。</w:t>
      </w:r>
    </w:p>
    <w:p>
      <w:pPr>
        <w:spacing w:line="520" w:lineRule="exact"/>
        <w:ind w:firstLine="600" w:firstLineChars="200"/>
        <w:rPr>
          <w:rFonts w:ascii="仿宋_GB2312" w:eastAsia="仿宋_GB2312"/>
          <w:sz w:val="32"/>
          <w:szCs w:val="32"/>
        </w:rPr>
      </w:pPr>
      <w:r>
        <w:rPr>
          <w:rStyle w:val="18"/>
          <w:rFonts w:hint="eastAsia" w:ascii="华文楷体" w:hAnsi="华文楷体" w:eastAsia="华文楷体" w:cs="Calibri"/>
          <w:sz w:val="30"/>
          <w:szCs w:val="30"/>
        </w:rPr>
        <w:t>9</w:t>
      </w:r>
      <w:r>
        <w:rPr>
          <w:rFonts w:ascii="仿宋_GB2312" w:eastAsia="仿宋_GB2312"/>
          <w:sz w:val="32"/>
          <w:szCs w:val="32"/>
        </w:rPr>
        <w:t>.</w:t>
      </w:r>
      <w:r>
        <w:rPr>
          <w:rFonts w:hint="eastAsia" w:ascii="仿宋_GB2312" w:eastAsia="仿宋_GB2312"/>
          <w:sz w:val="32"/>
          <w:szCs w:val="32"/>
        </w:rPr>
        <w:t>各类人员的绩效考核均在本单位按照考核时的职务（职称）进行考核，并根据考核结果以及完成工作比例，按照考核时的职务（职称）兑现绩效工资。</w:t>
      </w:r>
    </w:p>
    <w:p>
      <w:pPr>
        <w:spacing w:line="50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0.多岗身份的人员，其所在岗位均应当进行考核，其中任何一个考核不合格或任务未完成的，绩效工资的分配按照不合格或按照完成任务比例兑现。</w:t>
      </w:r>
    </w:p>
    <w:p>
      <w:pPr>
        <w:spacing w:line="50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1.人员岗位认定以人事处岗位登记为准。</w:t>
      </w:r>
    </w:p>
    <w:p>
      <w:pPr>
        <w:spacing w:line="500" w:lineRule="exact"/>
        <w:ind w:firstLine="640" w:firstLineChars="200"/>
        <w:rPr>
          <w:rFonts w:ascii="黑体" w:eastAsia="黑体"/>
          <w:sz w:val="32"/>
          <w:szCs w:val="32"/>
        </w:rPr>
      </w:pPr>
      <w:r>
        <w:rPr>
          <w:rFonts w:hint="eastAsia" w:ascii="黑体" w:eastAsia="黑体"/>
          <w:sz w:val="32"/>
          <w:szCs w:val="32"/>
        </w:rPr>
        <w:t>九、离退休人员生活补贴</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离退休人员生活补贴根据《安徽省人民政府办公厅转发省人力资源社会保障厅省财政厅关于其他事业单位绩效工资实施意见的通知》（皖政办〔2012〕7号）、《安徽省人民政府关于机关事业单位工作人员养老保险制度改革的实施意见》（皖政〔2015〕120号）等文件精神执行。根据省核定绩效工资总量和在职人员绩效工资的增减情况，学校给予离退休人员适当调整生活补贴。</w:t>
      </w:r>
    </w:p>
    <w:p>
      <w:pPr>
        <w:spacing w:line="500" w:lineRule="exact"/>
        <w:ind w:firstLine="640" w:firstLineChars="200"/>
        <w:rPr>
          <w:rFonts w:ascii="黑体" w:eastAsia="黑体"/>
          <w:sz w:val="32"/>
          <w:szCs w:val="32"/>
        </w:rPr>
      </w:pPr>
      <w:r>
        <w:rPr>
          <w:rFonts w:hint="eastAsia" w:ascii="黑体" w:eastAsia="黑体"/>
          <w:sz w:val="32"/>
          <w:szCs w:val="32"/>
        </w:rPr>
        <w:t>十、其他有关规定</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（一）根据皖人社秘〔2013〕290号文件有关精神，病（事）假、旷工期间人员的工资发放按以下规定执行。</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1．病假期间的工资待遇</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（1）病假在2个月以内（含两个月）的，本人基本工资和基础性绩效工资全额计发。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（2）病假超过2个月不满6个月的，从第3个月起，工作年限不满十年的，本人基本工资按90%计发，基础性绩效工资按70%计发；工作年限满十年的，基本工资和基础性绩效工资全额发放。</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3）病假超过6个月的，从第7个月起，工作不满十年的，本人基本工资按70%计发，基础性绩效工资按50%计发；工作满十年不满二十年的，本人基本工资按80%计发，基础性绩效工资按60%计发；工作年限满二十年以上的，本人基本工资按90%计发，基础性绩效工资按70%计发。</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（4）病假期间工作人员奖励性绩效工资停发，每月按21.75天计算日奖励性绩效工资。</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2．事假期间的工资及其它待遇</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（1）工作人员全年累计事假在15个工作日以内的，基本工资、基础性绩效工资全额计发。</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（2）工作人员全年累计事假超过15个工作日，不超过66个工作日的，从第16个工作日起，基本工资全额计发，基础性绩效工资按日减发。日减发工资计算方式为：每月应发基础性绩效工资除以21.75天。</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（3）全年累计事假超过66个工作日，从第67个工作日起，工资总额按日减发，日减发工资计算方式为：每月应发工资总额除以21.75天。</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（4）事假期间工作人员奖励性绩效工资停发，每月按21.75天计算日奖励性绩效工资。</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3．旷工期间的工资待遇</w:t>
      </w:r>
    </w:p>
    <w:p>
      <w:pPr>
        <w:spacing w:line="52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病假、事假未经批准擅自离岗或超过批准时间未销假的，按旷工处理，扣发旷工期间全部工资待遇，并按相关规定严肃处理。日扣发工资计算公式：每月应发工资总额除以21.75天。</w:t>
      </w:r>
    </w:p>
    <w:p>
      <w:pPr>
        <w:spacing w:line="520" w:lineRule="exact"/>
        <w:ind w:left="-84" w:leftChars="-40" w:right="-63" w:rightChars="-30" w:firstLine="640" w:firstLineChars="200"/>
        <w:rPr>
          <w:rFonts w:ascii="仿宋_GB2312" w:eastAsia="仿宋_GB2312"/>
          <w:sz w:val="32"/>
          <w:szCs w:val="32"/>
        </w:rPr>
      </w:pPr>
      <w:r>
        <w:rPr>
          <w:rFonts w:hint="eastAsia" w:ascii="仿宋_GB2312" w:eastAsia="仿宋_GB2312"/>
          <w:sz w:val="32"/>
          <w:szCs w:val="32"/>
        </w:rPr>
        <w:t>（二）学校对在教学、科研、学科建设以及管理工作等方面作出某种贡献的教职工进行专项奖励，具体的奖励办法按照相关文件执行。</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（三）其他奖励：经学校党政会议批准的有关项目奖励和节日慰问金。</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（四）按规定由政府投入的人才基金、创业基金（与财政拨款无关）和引进高层次人才的特殊报酬，以及临时性科研课题（项目）报酬，不纳入绩效工资总量管理。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（五）对于在聘期内不能履行岗位职责或不胜任岗位工作的教职工，学校和各单位可以按照聘任权限和程序作低聘、解聘处理，其绩效工资按新聘职级执行。</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（六）各单位要对照人才培养方案、年度工作重点等严格执行。绩效考核时，单位的教学、科研、管理等工作未完成者，将从其单位奖励性绩效工资中按一定比例扣减。</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（七）学校对在安</w:t>
      </w:r>
      <w:r>
        <w:rPr>
          <w:rFonts w:hint="eastAsia" w:ascii="仿宋_GB2312" w:eastAsia="仿宋_GB2312"/>
          <w:spacing w:val="-4"/>
          <w:sz w:val="32"/>
          <w:szCs w:val="32"/>
        </w:rPr>
        <w:t>全稳定工作中发生重大、特别重大责任事故的单位领导责任人，除应当按照其他规定承担相应的责任外，还要扣除一定的责任津贴和奖励性绩效工资。其中，发生重大责任事故的，扣除全年责任津贴(应当按照其他规定已经扣除的，不再重复扣除)；发生特别重大责任事故的，扣除全年责任津贴和50%的奖励</w:t>
      </w:r>
      <w:r>
        <w:rPr>
          <w:rFonts w:hint="eastAsia" w:ascii="仿宋_GB2312" w:eastAsia="仿宋_GB2312"/>
          <w:sz w:val="32"/>
          <w:szCs w:val="32"/>
        </w:rPr>
        <w:t>性基本业绩津贴。对于其他直接责任人除应当按照其他规定承担相应的责任外，还要扣除其全部奖励性基本业绩津贴(应当按照其他规定已经扣除的，不再重复扣除)。</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责任事故以及等级划分由校综治办按照规定的程序设定。</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（八）年末经测算，教学单位与机关、教辅单位相同职位人员奖励绩效工资差别悬殊的，由校绩效工资工作领导小组确定并同意后进行微调。</w:t>
      </w:r>
    </w:p>
    <w:p>
      <w:pPr>
        <w:spacing w:line="520" w:lineRule="exact"/>
        <w:ind w:firstLine="624" w:firstLineChars="200"/>
        <w:rPr>
          <w:rFonts w:ascii="仿宋_GB2312" w:eastAsia="仿宋_GB2312"/>
          <w:spacing w:val="-4"/>
          <w:sz w:val="32"/>
          <w:szCs w:val="32"/>
        </w:rPr>
      </w:pPr>
      <w:r>
        <w:rPr>
          <w:rFonts w:hint="eastAsia" w:ascii="仿宋_GB2312" w:eastAsia="仿宋_GB2312"/>
          <w:spacing w:val="-4"/>
          <w:sz w:val="32"/>
          <w:szCs w:val="32"/>
        </w:rPr>
        <w:t>（九）本办法凡冠有“以上”、 “以下”级别的，如无特别规定的，均包括本级；凡冠有“之间”级别的，均不包括本级。</w:t>
      </w:r>
    </w:p>
    <w:p>
      <w:pPr>
        <w:spacing w:line="520" w:lineRule="exact"/>
        <w:ind w:firstLine="624" w:firstLineChars="200"/>
        <w:rPr>
          <w:rFonts w:ascii="仿宋_GB2312" w:eastAsia="仿宋_GB2312"/>
          <w:spacing w:val="-4"/>
          <w:sz w:val="32"/>
          <w:szCs w:val="32"/>
        </w:rPr>
      </w:pPr>
      <w:r>
        <w:rPr>
          <w:rFonts w:hint="eastAsia" w:ascii="仿宋_GB2312" w:eastAsia="仿宋_GB2312"/>
          <w:spacing w:val="-4"/>
          <w:sz w:val="32"/>
          <w:szCs w:val="32"/>
        </w:rPr>
        <w:t>（十）本办法由校人事处负责解释，</w:t>
      </w:r>
      <w:bookmarkStart w:id="0" w:name="_GoBack"/>
      <w:r>
        <w:rPr>
          <w:rFonts w:hint="eastAsia" w:ascii="仿宋_GB2312" w:eastAsia="仿宋_GB2312"/>
          <w:spacing w:val="-4"/>
          <w:sz w:val="32"/>
          <w:szCs w:val="32"/>
        </w:rPr>
        <w:t>从2020年8月1日起执行</w:t>
      </w:r>
      <w:bookmarkEnd w:id="0"/>
      <w:r>
        <w:rPr>
          <w:rFonts w:hint="eastAsia" w:ascii="仿宋_GB2312" w:eastAsia="仿宋_GB2312"/>
          <w:spacing w:val="-4"/>
          <w:sz w:val="32"/>
          <w:szCs w:val="32"/>
        </w:rPr>
        <w:t>。校党〔2014〕9号、校党〔2015〕40号、校党〔2016〕117号、人〔2018〕35号文件即行废止，学校其他有关规定与本办法不一致的，以本办法为准；上级如有新规定，按上级规定执行。</w:t>
      </w:r>
    </w:p>
    <w:p>
      <w:pPr>
        <w:rPr>
          <w:rFonts w:ascii="黑体" w:hAnsi="黑体" w:eastAsia="黑体"/>
          <w:sz w:val="32"/>
          <w:szCs w:val="32"/>
        </w:rPr>
      </w:pPr>
      <w:r>
        <w:rPr>
          <w:rFonts w:hint="eastAsia" w:ascii="仿宋_GB2312" w:eastAsia="仿宋_GB2312"/>
          <w:sz w:val="32"/>
          <w:szCs w:val="32"/>
        </w:rPr>
        <w:t>附件：</w:t>
      </w:r>
    </w:p>
    <w:p>
      <w:pPr>
        <w:spacing w:line="560" w:lineRule="exact"/>
        <w:rPr>
          <w:rFonts w:ascii="仿宋_GB2312" w:eastAsia="仿宋_GB2312"/>
          <w:sz w:val="32"/>
          <w:szCs w:val="32"/>
        </w:rPr>
      </w:pPr>
      <w:r>
        <w:rPr>
          <w:rFonts w:ascii="仿宋_GB2312" w:eastAsia="仿宋_GB2312"/>
          <w:sz w:val="32"/>
          <w:szCs w:val="32"/>
        </w:rPr>
        <w:t xml:space="preserve"> </w:t>
      </w:r>
    </w:p>
    <w:p>
      <w:pPr>
        <w:spacing w:line="560" w:lineRule="exact"/>
        <w:ind w:left="-84" w:leftChars="-40" w:right="-63" w:rightChars="-30"/>
        <w:jc w:val="center"/>
        <w:rPr>
          <w:rFonts w:ascii="华文中宋" w:hAnsi="华文中宋" w:eastAsia="华文中宋"/>
          <w:b/>
          <w:sz w:val="44"/>
          <w:szCs w:val="44"/>
        </w:rPr>
      </w:pPr>
      <w:r>
        <w:rPr>
          <w:rFonts w:hint="eastAsia" w:ascii="华文中宋" w:hAnsi="华文中宋" w:eastAsia="华文中宋"/>
          <w:b/>
          <w:sz w:val="44"/>
          <w:szCs w:val="44"/>
        </w:rPr>
        <w:t>人员编制计算说明</w:t>
      </w:r>
    </w:p>
    <w:p>
      <w:pPr>
        <w:spacing w:line="560" w:lineRule="exact"/>
        <w:ind w:firstLine="627" w:firstLineChars="196"/>
        <w:rPr>
          <w:sz w:val="32"/>
          <w:szCs w:val="32"/>
        </w:rPr>
      </w:pPr>
    </w:p>
    <w:p>
      <w:pPr>
        <w:spacing w:line="560" w:lineRule="exact"/>
        <w:ind w:firstLine="643" w:firstLineChars="200"/>
        <w:rPr>
          <w:rFonts w:ascii="黑体" w:eastAsia="黑体"/>
          <w:b/>
          <w:sz w:val="32"/>
          <w:szCs w:val="32"/>
        </w:rPr>
      </w:pPr>
      <w:r>
        <w:rPr>
          <w:rFonts w:hint="eastAsia" w:ascii="黑体" w:eastAsia="黑体"/>
          <w:b/>
          <w:sz w:val="32"/>
          <w:szCs w:val="32"/>
        </w:rPr>
        <w:t>一、人员编制类别</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（一）教学科研人员编制：指学校各教学单位专任教学科研主岗人员编制。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（二）专职辅导员编制：指学校专职从事一</w:t>
      </w:r>
      <w:r>
        <w:rPr>
          <w:rFonts w:ascii="仿宋_GB2312" w:eastAsia="仿宋_GB2312"/>
          <w:sz w:val="32"/>
          <w:szCs w:val="32"/>
        </w:rPr>
        <w:t>线</w:t>
      </w:r>
      <w:r>
        <w:rPr>
          <w:rFonts w:hint="eastAsia" w:ascii="仿宋_GB2312" w:eastAsia="仿宋_GB2312"/>
          <w:sz w:val="32"/>
          <w:szCs w:val="32"/>
        </w:rPr>
        <w:t>本科生日常思想政治教育和管理工作的专职</w:t>
      </w:r>
      <w:r>
        <w:rPr>
          <w:rFonts w:ascii="仿宋_GB2312" w:eastAsia="仿宋_GB2312"/>
          <w:sz w:val="32"/>
          <w:szCs w:val="32"/>
        </w:rPr>
        <w:t>辅导员</w:t>
      </w:r>
      <w:r>
        <w:rPr>
          <w:rFonts w:hint="eastAsia" w:ascii="仿宋_GB2312" w:eastAsia="仿宋_GB2312"/>
          <w:sz w:val="32"/>
          <w:szCs w:val="32"/>
        </w:rPr>
        <w:t>编制。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（三）党政管理人员编制：指学校专职从事党务工作、行政管理工作的人员编制。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（四）教辅人员编制：指为学校教学、科研等工作服务而配备的从事实验技术、图书资料、设备保管以及其他技术服务工作的人员编制。</w:t>
      </w:r>
    </w:p>
    <w:p>
      <w:pPr>
        <w:spacing w:line="560" w:lineRule="exact"/>
        <w:ind w:firstLine="608" w:firstLineChars="200"/>
        <w:rPr>
          <w:rFonts w:ascii="仿宋_GB2312" w:eastAsia="仿宋_GB2312"/>
          <w:spacing w:val="-8"/>
          <w:sz w:val="32"/>
          <w:szCs w:val="32"/>
        </w:rPr>
      </w:pPr>
      <w:r>
        <w:rPr>
          <w:rFonts w:hint="eastAsia" w:ascii="仿宋_GB2312" w:eastAsia="仿宋_GB2312"/>
          <w:spacing w:val="-8"/>
          <w:sz w:val="32"/>
          <w:szCs w:val="32"/>
        </w:rPr>
        <w:t>（五）工勤人员编制：指为学校提供后勤保障工作的人员编制。</w:t>
      </w:r>
    </w:p>
    <w:p>
      <w:pPr>
        <w:spacing w:line="560" w:lineRule="exact"/>
        <w:ind w:firstLine="643" w:firstLineChars="200"/>
        <w:rPr>
          <w:rFonts w:ascii="黑体" w:eastAsia="黑体"/>
          <w:b/>
          <w:sz w:val="32"/>
          <w:szCs w:val="32"/>
        </w:rPr>
      </w:pPr>
      <w:r>
        <w:rPr>
          <w:rFonts w:hint="eastAsia" w:ascii="黑体" w:eastAsia="黑体"/>
          <w:b/>
          <w:sz w:val="32"/>
          <w:szCs w:val="32"/>
        </w:rPr>
        <w:t>二、人员编制核算</w:t>
      </w:r>
    </w:p>
    <w:p>
      <w:pPr>
        <w:spacing w:line="560" w:lineRule="exact"/>
        <w:ind w:firstLine="435"/>
        <w:rPr>
          <w:rFonts w:ascii="仿宋_GB2312" w:eastAsia="仿宋_GB2312"/>
          <w:b/>
          <w:sz w:val="32"/>
          <w:szCs w:val="32"/>
        </w:rPr>
      </w:pPr>
      <w:r>
        <w:rPr>
          <w:rFonts w:hint="eastAsia" w:ascii="仿宋_GB2312" w:eastAsia="仿宋_GB2312"/>
          <w:b/>
          <w:sz w:val="32"/>
          <w:szCs w:val="32"/>
        </w:rPr>
        <w:t>（一）教学科研人员编制核算办法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学校根据各学院的生师比、互开课情况等因素确定教学人员编制总数</w:t>
      </w:r>
      <w:r>
        <w:rPr>
          <w:rFonts w:ascii="仿宋_GB2312" w:eastAsia="仿宋_GB2312"/>
          <w:sz w:val="32"/>
          <w:szCs w:val="32"/>
        </w:rPr>
        <w:t>J</w:t>
      </w:r>
      <w:r>
        <w:rPr>
          <w:rFonts w:hint="eastAsia" w:ascii="仿宋_GB2312" w:eastAsia="仿宋_GB2312"/>
          <w:sz w:val="32"/>
          <w:szCs w:val="32"/>
        </w:rPr>
        <w:t>，</w:t>
      </w:r>
      <w:r>
        <w:rPr>
          <w:rFonts w:ascii="仿宋_GB2312" w:eastAsia="仿宋_GB2312"/>
          <w:sz w:val="32"/>
          <w:szCs w:val="32"/>
        </w:rPr>
        <w:t>J</w:t>
      </w:r>
      <w:r>
        <w:rPr>
          <w:rFonts w:hint="eastAsia" w:ascii="仿宋_GB2312" w:eastAsia="仿宋_GB2312"/>
          <w:sz w:val="32"/>
          <w:szCs w:val="32"/>
        </w:rPr>
        <w:t>＝</w:t>
      </w:r>
      <w:r>
        <w:rPr>
          <w:rFonts w:ascii="仿宋_GB2312" w:eastAsia="仿宋_GB2312"/>
          <w:sz w:val="32"/>
          <w:szCs w:val="32"/>
        </w:rPr>
        <w:t>A-B+C</w:t>
      </w:r>
      <w:r>
        <w:rPr>
          <w:rFonts w:hint="eastAsia" w:ascii="仿宋_GB2312" w:eastAsia="仿宋_GB2312"/>
          <w:sz w:val="32"/>
          <w:szCs w:val="32"/>
        </w:rPr>
        <w:t>，其中：</w:t>
      </w:r>
    </w:p>
    <w:p>
      <w:pPr>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根据各教学单位标准生数和生师比计算出各教学单位总体教学人员编制数</w:t>
      </w:r>
      <w:r>
        <w:rPr>
          <w:rFonts w:ascii="仿宋_GB2312" w:eastAsia="仿宋_GB2312"/>
          <w:sz w:val="32"/>
          <w:szCs w:val="32"/>
        </w:rPr>
        <w:t>A</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根据学科性质，按专业类别确定生师比，本科生生师比标准为：文科</w:t>
      </w:r>
      <w:r>
        <w:rPr>
          <w:rFonts w:ascii="仿宋_GB2312" w:eastAsia="仿宋_GB2312"/>
          <w:sz w:val="32"/>
          <w:szCs w:val="32"/>
        </w:rPr>
        <w:t>22</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，理科</w:t>
      </w:r>
      <w:r>
        <w:rPr>
          <w:rFonts w:ascii="仿宋_GB2312" w:eastAsia="仿宋_GB2312"/>
          <w:sz w:val="32"/>
          <w:szCs w:val="32"/>
        </w:rPr>
        <w:t>20</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，工科</w:t>
      </w:r>
      <w:r>
        <w:rPr>
          <w:rFonts w:ascii="仿宋_GB2312" w:eastAsia="仿宋_GB2312"/>
          <w:sz w:val="32"/>
          <w:szCs w:val="32"/>
        </w:rPr>
        <w:t>18</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，外语、体育</w:t>
      </w:r>
      <w:r>
        <w:rPr>
          <w:rFonts w:ascii="仿宋_GB2312" w:eastAsia="仿宋_GB2312"/>
          <w:sz w:val="32"/>
          <w:szCs w:val="32"/>
        </w:rPr>
        <w:t>15</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，美术</w:t>
      </w:r>
      <w:r>
        <w:rPr>
          <w:rFonts w:ascii="仿宋_GB2312" w:eastAsia="仿宋_GB2312"/>
          <w:sz w:val="32"/>
          <w:szCs w:val="32"/>
        </w:rPr>
        <w:t>13</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，音乐</w:t>
      </w:r>
      <w:r>
        <w:rPr>
          <w:rFonts w:ascii="仿宋_GB2312" w:eastAsia="仿宋_GB2312"/>
          <w:sz w:val="32"/>
          <w:szCs w:val="32"/>
        </w:rPr>
        <w:t>9</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根据各专业人才培养方案，测算外学院为本学院开课所需教学人员编制数</w:t>
      </w:r>
      <w:r>
        <w:rPr>
          <w:rFonts w:ascii="仿宋_GB2312" w:eastAsia="仿宋_GB2312"/>
          <w:sz w:val="32"/>
          <w:szCs w:val="32"/>
        </w:rPr>
        <w:t>B</w:t>
      </w:r>
      <w:r>
        <w:rPr>
          <w:rFonts w:hint="eastAsia" w:ascii="仿宋_GB2312" w:eastAsia="仿宋_GB2312"/>
          <w:sz w:val="32"/>
          <w:szCs w:val="32"/>
        </w:rPr>
        <w:t>，以及本学院为外学院开课所需教学人员编制数</w:t>
      </w:r>
      <w:r>
        <w:rPr>
          <w:rFonts w:ascii="仿宋_GB2312" w:eastAsia="仿宋_GB2312"/>
          <w:sz w:val="32"/>
          <w:szCs w:val="32"/>
        </w:rPr>
        <w:t>C</w:t>
      </w:r>
      <w:r>
        <w:rPr>
          <w:rFonts w:hint="eastAsia" w:ascii="仿宋_GB2312" w:eastAsia="仿宋_GB2312"/>
          <w:sz w:val="32"/>
          <w:szCs w:val="32"/>
        </w:rPr>
        <w:t>。测算办法如下：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）公共课程编制计算的标准为</w:t>
      </w:r>
      <w:r>
        <w:rPr>
          <w:rFonts w:ascii="仿宋_GB2312" w:eastAsia="仿宋_GB2312"/>
          <w:sz w:val="32"/>
          <w:szCs w:val="32"/>
        </w:rPr>
        <w:t>386</w:t>
      </w:r>
      <w:r>
        <w:rPr>
          <w:rFonts w:hint="eastAsia" w:ascii="仿宋_GB2312" w:eastAsia="仿宋_GB2312"/>
          <w:sz w:val="32"/>
          <w:szCs w:val="32"/>
        </w:rPr>
        <w:t>课时</w:t>
      </w:r>
      <w:r>
        <w:rPr>
          <w:rFonts w:ascii="仿宋_GB2312" w:eastAsia="仿宋_GB2312"/>
          <w:sz w:val="32"/>
          <w:szCs w:val="32"/>
        </w:rPr>
        <w:t>/</w:t>
      </w:r>
      <w:r>
        <w:rPr>
          <w:rFonts w:hint="eastAsia" w:ascii="仿宋_GB2312" w:eastAsia="仿宋_GB2312"/>
          <w:sz w:val="32"/>
          <w:szCs w:val="32"/>
        </w:rPr>
        <w:t>年</w:t>
      </w:r>
      <w:r>
        <w:rPr>
          <w:rFonts w:ascii="仿宋_GB2312" w:eastAsia="仿宋_GB2312"/>
          <w:sz w:val="32"/>
          <w:szCs w:val="32"/>
        </w:rPr>
        <w:t>/</w:t>
      </w:r>
      <w:r>
        <w:rPr>
          <w:rFonts w:hint="eastAsia" w:ascii="仿宋_GB2312" w:eastAsia="仿宋_GB2312"/>
          <w:sz w:val="32"/>
          <w:szCs w:val="32"/>
        </w:rPr>
        <w:t>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）根据学校课时计算办法，按照上述标准计算出</w:t>
      </w:r>
      <w:r>
        <w:rPr>
          <w:rFonts w:ascii="仿宋_GB2312" w:eastAsia="仿宋_GB2312"/>
          <w:sz w:val="32"/>
          <w:szCs w:val="32"/>
        </w:rPr>
        <w:t>B</w:t>
      </w:r>
      <w:r>
        <w:rPr>
          <w:rFonts w:hint="eastAsia" w:ascii="仿宋_GB2312" w:eastAsia="仿宋_GB2312"/>
          <w:sz w:val="32"/>
          <w:szCs w:val="32"/>
        </w:rPr>
        <w:t>、</w:t>
      </w:r>
      <w:r>
        <w:rPr>
          <w:rFonts w:ascii="仿宋_GB2312" w:eastAsia="仿宋_GB2312"/>
          <w:sz w:val="32"/>
          <w:szCs w:val="32"/>
        </w:rPr>
        <w:t>C</w:t>
      </w:r>
      <w:r>
        <w:rPr>
          <w:rFonts w:hint="eastAsia" w:ascii="仿宋_GB2312" w:eastAsia="仿宋_GB2312"/>
          <w:sz w:val="32"/>
          <w:szCs w:val="32"/>
        </w:rPr>
        <w:t>值。</w:t>
      </w:r>
    </w:p>
    <w:p>
      <w:pPr>
        <w:spacing w:line="560" w:lineRule="exact"/>
        <w:ind w:firstLine="643" w:firstLineChars="200"/>
        <w:rPr>
          <w:rFonts w:ascii="仿宋_GB2312" w:eastAsia="仿宋_GB2312"/>
          <w:b/>
          <w:sz w:val="32"/>
          <w:szCs w:val="32"/>
        </w:rPr>
      </w:pPr>
      <w:r>
        <w:rPr>
          <w:rFonts w:hint="eastAsia" w:ascii="仿宋_GB2312" w:eastAsia="仿宋_GB2312"/>
          <w:b/>
          <w:sz w:val="32"/>
          <w:szCs w:val="32"/>
        </w:rPr>
        <w:t>（二）专职辅导员编制核算办法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按照安徽省</w:t>
      </w:r>
      <w:r>
        <w:rPr>
          <w:rFonts w:ascii="仿宋_GB2312" w:eastAsia="仿宋_GB2312"/>
          <w:sz w:val="32"/>
          <w:szCs w:val="32"/>
        </w:rPr>
        <w:t>教育厅</w:t>
      </w:r>
      <w:r>
        <w:rPr>
          <w:rFonts w:hint="eastAsia" w:ascii="仿宋_GB2312" w:eastAsia="仿宋_GB2312"/>
          <w:sz w:val="32"/>
          <w:szCs w:val="32"/>
        </w:rPr>
        <w:t>《关于进一步加强全</w:t>
      </w:r>
      <w:r>
        <w:rPr>
          <w:rFonts w:ascii="仿宋_GB2312" w:eastAsia="仿宋_GB2312"/>
          <w:sz w:val="32"/>
          <w:szCs w:val="32"/>
        </w:rPr>
        <w:t>省高等学校</w:t>
      </w:r>
      <w:r>
        <w:rPr>
          <w:rFonts w:hint="eastAsia" w:ascii="仿宋_GB2312" w:eastAsia="仿宋_GB2312"/>
          <w:sz w:val="32"/>
          <w:szCs w:val="32"/>
        </w:rPr>
        <w:t>辅导员队伍建设的意见》（皖</w:t>
      </w:r>
      <w:r>
        <w:rPr>
          <w:rFonts w:ascii="仿宋_GB2312" w:eastAsia="仿宋_GB2312"/>
          <w:sz w:val="32"/>
          <w:szCs w:val="32"/>
        </w:rPr>
        <w:t>教工委</w:t>
      </w:r>
      <w:r>
        <w:rPr>
          <w:rFonts w:hint="eastAsia" w:ascii="仿宋_GB2312" w:eastAsia="仿宋_GB2312"/>
          <w:sz w:val="32"/>
          <w:szCs w:val="32"/>
        </w:rPr>
        <w:t>〔</w:t>
      </w:r>
      <w:r>
        <w:rPr>
          <w:rFonts w:ascii="仿宋_GB2312" w:eastAsia="仿宋_GB2312"/>
          <w:sz w:val="32"/>
          <w:szCs w:val="32"/>
        </w:rPr>
        <w:t>2011</w:t>
      </w: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号）文件的规定执行，各学院本科生专职辅导员编制数按照本科生数</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200</w:t>
      </w:r>
      <w:r>
        <w:rPr>
          <w:rFonts w:hint="eastAsia" w:ascii="仿宋_GB2312" w:eastAsia="仿宋_GB2312"/>
          <w:sz w:val="32"/>
          <w:szCs w:val="32"/>
        </w:rPr>
        <w:t>核算。</w:t>
      </w:r>
    </w:p>
    <w:p>
      <w:pPr>
        <w:spacing w:line="560" w:lineRule="exact"/>
        <w:ind w:firstLine="643" w:firstLineChars="200"/>
        <w:rPr>
          <w:rFonts w:ascii="仿宋_GB2312" w:eastAsia="仿宋_GB2312"/>
          <w:b/>
          <w:sz w:val="32"/>
          <w:szCs w:val="32"/>
        </w:rPr>
      </w:pPr>
      <w:r>
        <w:rPr>
          <w:rFonts w:hint="eastAsia" w:ascii="仿宋_GB2312" w:eastAsia="仿宋_GB2312"/>
          <w:b/>
          <w:sz w:val="32"/>
          <w:szCs w:val="32"/>
        </w:rPr>
        <w:t>（三）党政管理人员编制核算办法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党政管理人员编制由学院党政管理人员编制和机关部门及直属单位党政管理人员编制两部分组成。</w:t>
      </w:r>
    </w:p>
    <w:p>
      <w:pPr>
        <w:spacing w:line="560" w:lineRule="exact"/>
        <w:ind w:firstLine="643" w:firstLineChars="20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学院党政管理人员编制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）学院处级专职党政管理人员编制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学院学生人数</w:t>
      </w:r>
      <w:r>
        <w:rPr>
          <w:rFonts w:ascii="仿宋_GB2312" w:eastAsia="仿宋_GB2312"/>
          <w:sz w:val="32"/>
          <w:szCs w:val="32"/>
        </w:rPr>
        <w:t>1000</w:t>
      </w:r>
      <w:r>
        <w:rPr>
          <w:rFonts w:hint="eastAsia" w:ascii="仿宋_GB2312" w:eastAsia="仿宋_GB2312"/>
          <w:sz w:val="32"/>
          <w:szCs w:val="32"/>
        </w:rPr>
        <w:t>人以下，两正一副；学生人数</w:t>
      </w:r>
      <w:r>
        <w:rPr>
          <w:rFonts w:ascii="仿宋_GB2312" w:eastAsia="仿宋_GB2312"/>
          <w:sz w:val="32"/>
          <w:szCs w:val="32"/>
        </w:rPr>
        <w:t>1000</w:t>
      </w:r>
      <w:r>
        <w:rPr>
          <w:rFonts w:hint="eastAsia" w:ascii="仿宋_GB2312" w:eastAsia="仿宋_GB2312"/>
          <w:sz w:val="32"/>
          <w:szCs w:val="32"/>
        </w:rPr>
        <w:t>人以上、</w:t>
      </w:r>
      <w:r>
        <w:rPr>
          <w:rFonts w:ascii="仿宋_GB2312" w:eastAsia="仿宋_GB2312"/>
          <w:sz w:val="32"/>
          <w:szCs w:val="32"/>
        </w:rPr>
        <w:t>1500</w:t>
      </w:r>
      <w:r>
        <w:rPr>
          <w:rFonts w:hint="eastAsia" w:ascii="仿宋_GB2312" w:eastAsia="仿宋_GB2312"/>
          <w:sz w:val="32"/>
          <w:szCs w:val="32"/>
        </w:rPr>
        <w:t>人以下，两正两副；学生人数</w:t>
      </w:r>
      <w:r>
        <w:rPr>
          <w:rFonts w:ascii="仿宋_GB2312" w:eastAsia="仿宋_GB2312"/>
          <w:sz w:val="32"/>
          <w:szCs w:val="32"/>
        </w:rPr>
        <w:t>1500</w:t>
      </w:r>
      <w:r>
        <w:rPr>
          <w:rFonts w:hint="eastAsia" w:ascii="仿宋_GB2312" w:eastAsia="仿宋_GB2312"/>
          <w:sz w:val="32"/>
          <w:szCs w:val="32"/>
        </w:rPr>
        <w:t>人以上、</w:t>
      </w:r>
      <w:r>
        <w:rPr>
          <w:rFonts w:ascii="仿宋_GB2312" w:eastAsia="仿宋_GB2312"/>
          <w:sz w:val="32"/>
          <w:szCs w:val="32"/>
        </w:rPr>
        <w:t>3000</w:t>
      </w:r>
      <w:r>
        <w:rPr>
          <w:rFonts w:hint="eastAsia" w:ascii="仿宋_GB2312" w:eastAsia="仿宋_GB2312"/>
          <w:sz w:val="32"/>
          <w:szCs w:val="32"/>
        </w:rPr>
        <w:t>人以下，两正三副；学生人数</w:t>
      </w:r>
      <w:r>
        <w:rPr>
          <w:rFonts w:ascii="仿宋_GB2312" w:eastAsia="仿宋_GB2312"/>
          <w:sz w:val="32"/>
          <w:szCs w:val="32"/>
        </w:rPr>
        <w:t>3000</w:t>
      </w:r>
      <w:r>
        <w:rPr>
          <w:rFonts w:hint="eastAsia" w:ascii="仿宋_GB2312" w:eastAsia="仿宋_GB2312"/>
          <w:sz w:val="32"/>
          <w:szCs w:val="32"/>
        </w:rPr>
        <w:t>人以上，两正三副，另增设一个副处级组织员。</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）科级及以下专职党政管理人员编制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①根据学院的整体工作职责，按照党务工作、教务工作、共青团工作、行政工作四大功能，核定</w:t>
      </w:r>
      <w:r>
        <w:rPr>
          <w:rFonts w:ascii="仿宋_GB2312" w:eastAsia="仿宋_GB2312"/>
          <w:sz w:val="32"/>
          <w:szCs w:val="32"/>
        </w:rPr>
        <w:t>4</w:t>
      </w:r>
      <w:r>
        <w:rPr>
          <w:rFonts w:hint="eastAsia" w:ascii="仿宋_GB2312" w:eastAsia="仿宋_GB2312"/>
          <w:sz w:val="32"/>
          <w:szCs w:val="32"/>
        </w:rPr>
        <w:t>个基本编制。有设置其它科级岗位的，另外计算。马克思主义学院按照行政工作和教务工作核定</w:t>
      </w:r>
      <w:r>
        <w:rPr>
          <w:rFonts w:ascii="仿宋_GB2312" w:eastAsia="仿宋_GB2312"/>
          <w:sz w:val="32"/>
          <w:szCs w:val="32"/>
        </w:rPr>
        <w:t>2</w:t>
      </w:r>
      <w:r>
        <w:rPr>
          <w:rFonts w:hint="eastAsia" w:ascii="仿宋_GB2312" w:eastAsia="仿宋_GB2312"/>
          <w:sz w:val="32"/>
          <w:szCs w:val="32"/>
        </w:rPr>
        <w:t>个编制。</w:t>
      </w:r>
    </w:p>
    <w:p>
      <w:pPr>
        <w:spacing w:line="560" w:lineRule="exact"/>
        <w:ind w:firstLine="608" w:firstLineChars="200"/>
        <w:rPr>
          <w:rFonts w:ascii="仿宋_GB2312" w:eastAsia="仿宋_GB2312"/>
          <w:spacing w:val="-8"/>
          <w:sz w:val="32"/>
          <w:szCs w:val="32"/>
        </w:rPr>
      </w:pPr>
      <w:r>
        <w:rPr>
          <w:rFonts w:hint="eastAsia" w:ascii="仿宋_GB2312" w:eastAsia="仿宋_GB2312"/>
          <w:spacing w:val="-8"/>
          <w:sz w:val="32"/>
          <w:szCs w:val="32"/>
        </w:rPr>
        <w:t>②根据学院学生规模和专业设置情况，增设以下调节编制：</w:t>
      </w:r>
    </w:p>
    <w:p>
      <w:pPr>
        <w:spacing w:line="560" w:lineRule="exact"/>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本科生数达到</w:t>
      </w:r>
      <w:r>
        <w:rPr>
          <w:rFonts w:ascii="仿宋_GB2312" w:eastAsia="仿宋_GB2312"/>
          <w:sz w:val="32"/>
          <w:szCs w:val="32"/>
        </w:rPr>
        <w:t>1500</w:t>
      </w:r>
      <w:r>
        <w:rPr>
          <w:rFonts w:hint="eastAsia" w:ascii="仿宋_GB2312" w:eastAsia="仿宋_GB2312"/>
          <w:sz w:val="32"/>
          <w:szCs w:val="32"/>
        </w:rPr>
        <w:t>人以上的，增加本科生管理调节编制</w:t>
      </w:r>
      <w:r>
        <w:rPr>
          <w:rFonts w:ascii="仿宋_GB2312" w:eastAsia="仿宋_GB2312"/>
          <w:sz w:val="32"/>
          <w:szCs w:val="32"/>
        </w:rPr>
        <w:t>1</w:t>
      </w:r>
      <w:r>
        <w:rPr>
          <w:rFonts w:hint="eastAsia" w:ascii="仿宋_GB2312" w:eastAsia="仿宋_GB2312"/>
          <w:sz w:val="32"/>
          <w:szCs w:val="32"/>
        </w:rPr>
        <w:t>个；</w:t>
      </w:r>
    </w:p>
    <w:p>
      <w:pPr>
        <w:spacing w:line="560" w:lineRule="exact"/>
        <w:ind w:firstLine="600" w:firstLineChars="200"/>
        <w:rPr>
          <w:rFonts w:ascii="仿宋_GB2312" w:eastAsia="仿宋_GB2312"/>
          <w:spacing w:val="-10"/>
          <w:sz w:val="32"/>
          <w:szCs w:val="32"/>
        </w:rPr>
      </w:pPr>
      <w:r>
        <w:rPr>
          <w:rFonts w:ascii="仿宋_GB2312" w:eastAsia="仿宋_GB2312"/>
          <w:spacing w:val="-10"/>
          <w:sz w:val="32"/>
          <w:szCs w:val="32"/>
        </w:rPr>
        <w:t>——</w:t>
      </w:r>
      <w:r>
        <w:rPr>
          <w:rFonts w:hint="eastAsia" w:ascii="仿宋_GB2312" w:eastAsia="仿宋_GB2312"/>
          <w:spacing w:val="-10"/>
          <w:sz w:val="32"/>
          <w:szCs w:val="32"/>
        </w:rPr>
        <w:t>硕士点授权学科各增加研究生管理调节编制</w:t>
      </w:r>
      <w:r>
        <w:rPr>
          <w:rFonts w:ascii="仿宋_GB2312" w:eastAsia="仿宋_GB2312"/>
          <w:spacing w:val="-10"/>
          <w:sz w:val="32"/>
          <w:szCs w:val="32"/>
        </w:rPr>
        <w:t>1</w:t>
      </w:r>
      <w:r>
        <w:rPr>
          <w:rFonts w:hint="eastAsia" w:ascii="仿宋_GB2312" w:eastAsia="仿宋_GB2312"/>
          <w:spacing w:val="-10"/>
          <w:sz w:val="32"/>
          <w:szCs w:val="32"/>
        </w:rPr>
        <w:t>个；</w:t>
      </w:r>
    </w:p>
    <w:p>
      <w:pPr>
        <w:spacing w:line="560" w:lineRule="exact"/>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公共外语、公共体育、公共计算机和教育学、心理学、教育技术学等所属的四个学院各增加公共课教务管理调节编制</w:t>
      </w:r>
      <w:r>
        <w:rPr>
          <w:rFonts w:ascii="仿宋_GB2312" w:eastAsia="仿宋_GB2312"/>
          <w:sz w:val="32"/>
          <w:szCs w:val="32"/>
        </w:rPr>
        <w:t>1</w:t>
      </w:r>
      <w:r>
        <w:rPr>
          <w:rFonts w:hint="eastAsia" w:ascii="仿宋_GB2312" w:eastAsia="仿宋_GB2312"/>
          <w:sz w:val="32"/>
          <w:szCs w:val="32"/>
        </w:rPr>
        <w:t>个。</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）学院科级及以下岗位名称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党组织秘书、团委书记、行政秘书、教学秘书。</w:t>
      </w:r>
    </w:p>
    <w:p>
      <w:pPr>
        <w:spacing w:line="560" w:lineRule="exact"/>
        <w:ind w:firstLine="643" w:firstLineChars="20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机关部门及直属单位专职党政管理人员编制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处科级及以下专职党政管理人员编制按照学校确定的职数执行。</w:t>
      </w:r>
    </w:p>
    <w:p>
      <w:pPr>
        <w:tabs>
          <w:tab w:val="center" w:pos="4987"/>
        </w:tabs>
        <w:spacing w:line="560" w:lineRule="exact"/>
        <w:ind w:firstLine="643" w:firstLineChars="200"/>
        <w:rPr>
          <w:rFonts w:ascii="仿宋_GB2312" w:eastAsia="仿宋_GB2312"/>
          <w:b/>
          <w:sz w:val="32"/>
          <w:szCs w:val="32"/>
        </w:rPr>
      </w:pPr>
      <w:r>
        <w:rPr>
          <w:rFonts w:hint="eastAsia" w:ascii="仿宋_GB2312" w:eastAsia="仿宋_GB2312"/>
          <w:b/>
          <w:sz w:val="32"/>
          <w:szCs w:val="32"/>
        </w:rPr>
        <w:t>（四）教辅人员编制核算办法</w:t>
      </w:r>
    </w:p>
    <w:p>
      <w:pPr>
        <w:spacing w:line="560" w:lineRule="exact"/>
        <w:ind w:firstLine="643" w:firstLineChars="20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实验技术人员编制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学校根据单位的实验教学课时数、仪器设备值、仪器台套数和特大型仪器设备数等因素确定各单位实验技术人员编制总数</w:t>
      </w:r>
      <w:r>
        <w:rPr>
          <w:rFonts w:ascii="仿宋_GB2312" w:eastAsia="仿宋_GB2312"/>
          <w:sz w:val="32"/>
          <w:szCs w:val="32"/>
        </w:rPr>
        <w:t>S</w:t>
      </w:r>
      <w:r>
        <w:rPr>
          <w:rFonts w:hint="eastAsia" w:ascii="仿宋_GB2312" w:eastAsia="仿宋_GB2312"/>
          <w:sz w:val="32"/>
          <w:szCs w:val="32"/>
        </w:rPr>
        <w:t>，</w:t>
      </w:r>
      <w:r>
        <w:rPr>
          <w:rFonts w:ascii="仿宋_GB2312" w:eastAsia="仿宋_GB2312"/>
          <w:sz w:val="32"/>
          <w:szCs w:val="32"/>
        </w:rPr>
        <w:t>S</w:t>
      </w:r>
      <w:r>
        <w:rPr>
          <w:rFonts w:hint="eastAsia" w:ascii="仿宋_GB2312" w:eastAsia="仿宋_GB2312"/>
          <w:sz w:val="32"/>
          <w:szCs w:val="32"/>
        </w:rPr>
        <w:t>＝</w:t>
      </w:r>
      <w:r>
        <w:rPr>
          <w:rFonts w:ascii="仿宋_GB2312" w:eastAsia="仿宋_GB2312"/>
          <w:sz w:val="32"/>
          <w:szCs w:val="32"/>
        </w:rPr>
        <w:t>X</w:t>
      </w:r>
      <w:r>
        <w:rPr>
          <w:rFonts w:hint="eastAsia" w:ascii="仿宋_GB2312" w:eastAsia="仿宋_GB2312"/>
          <w:sz w:val="32"/>
          <w:szCs w:val="32"/>
        </w:rPr>
        <w:t>＋</w:t>
      </w:r>
      <w:r>
        <w:rPr>
          <w:rFonts w:ascii="仿宋_GB2312" w:eastAsia="仿宋_GB2312"/>
          <w:sz w:val="32"/>
          <w:szCs w:val="32"/>
        </w:rPr>
        <w:t>Y</w:t>
      </w:r>
      <w:r>
        <w:rPr>
          <w:rFonts w:hint="eastAsia" w:ascii="仿宋_GB2312" w:eastAsia="仿宋_GB2312"/>
          <w:sz w:val="32"/>
          <w:szCs w:val="32"/>
        </w:rPr>
        <w:t>＋</w:t>
      </w:r>
      <w:r>
        <w:rPr>
          <w:rFonts w:ascii="仿宋_GB2312" w:eastAsia="仿宋_GB2312"/>
          <w:sz w:val="32"/>
          <w:szCs w:val="32"/>
        </w:rPr>
        <w:t>Z</w:t>
      </w:r>
      <w:r>
        <w:rPr>
          <w:rFonts w:hint="eastAsia" w:ascii="仿宋_GB2312" w:eastAsia="仿宋_GB2312"/>
          <w:sz w:val="32"/>
          <w:szCs w:val="32"/>
        </w:rPr>
        <w:t>，其中：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）实验辅助教学人员编制</w:t>
      </w:r>
      <w:r>
        <w:rPr>
          <w:rFonts w:ascii="仿宋_GB2312" w:eastAsia="仿宋_GB2312"/>
          <w:sz w:val="32"/>
          <w:szCs w:val="32"/>
        </w:rPr>
        <w:t>X</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学院实验辅助教学人员编制</w:t>
      </w:r>
      <w:r>
        <w:rPr>
          <w:rFonts w:ascii="仿宋_GB2312" w:eastAsia="仿宋_GB2312"/>
          <w:sz w:val="32"/>
          <w:szCs w:val="32"/>
        </w:rPr>
        <w:t>X=</w:t>
      </w:r>
      <w:r>
        <w:rPr>
          <w:rFonts w:hint="eastAsia" w:ascii="仿宋_GB2312" w:eastAsia="仿宋_GB2312"/>
          <w:sz w:val="32"/>
          <w:szCs w:val="32"/>
        </w:rPr>
        <w:t>学院总实验教学课时数</w:t>
      </w:r>
      <w:r>
        <w:rPr>
          <w:rFonts w:ascii="仿宋_GB2312" w:eastAsia="仿宋_GB2312"/>
          <w:sz w:val="32"/>
          <w:szCs w:val="32"/>
        </w:rPr>
        <w:t>/900</w:t>
      </w:r>
      <w:r>
        <w:rPr>
          <w:rFonts w:hint="eastAsia" w:ascii="仿宋_GB2312" w:eastAsia="仿宋_GB2312"/>
          <w:sz w:val="32"/>
          <w:szCs w:val="32"/>
        </w:rPr>
        <w:t>小时。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）按特大型仪器设备数核算实验技术人员编制</w:t>
      </w:r>
      <w:r>
        <w:rPr>
          <w:rFonts w:ascii="仿宋_GB2312" w:eastAsia="仿宋_GB2312"/>
          <w:sz w:val="32"/>
          <w:szCs w:val="32"/>
        </w:rPr>
        <w:t>Y</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单价在</w:t>
      </w:r>
      <w:r>
        <w:rPr>
          <w:rFonts w:ascii="仿宋_GB2312" w:eastAsia="仿宋_GB2312"/>
          <w:sz w:val="32"/>
          <w:szCs w:val="32"/>
        </w:rPr>
        <w:t>60</w:t>
      </w:r>
      <w:r>
        <w:rPr>
          <w:rFonts w:hint="eastAsia" w:ascii="仿宋_GB2312" w:eastAsia="仿宋_GB2312"/>
          <w:sz w:val="32"/>
          <w:szCs w:val="32"/>
        </w:rPr>
        <w:t>万元以上的仪器为特大型仪器设备。每</w:t>
      </w:r>
      <w:r>
        <w:rPr>
          <w:rFonts w:ascii="仿宋_GB2312" w:eastAsia="仿宋_GB2312"/>
          <w:sz w:val="32"/>
          <w:szCs w:val="32"/>
        </w:rPr>
        <w:t>3</w:t>
      </w:r>
      <w:r>
        <w:rPr>
          <w:rFonts w:hint="eastAsia" w:ascii="仿宋_GB2312" w:eastAsia="仿宋_GB2312"/>
          <w:sz w:val="32"/>
          <w:szCs w:val="32"/>
        </w:rPr>
        <w:t>台特大型仪器设备核定</w:t>
      </w:r>
      <w:r>
        <w:rPr>
          <w:rFonts w:ascii="仿宋_GB2312" w:eastAsia="仿宋_GB2312"/>
          <w:sz w:val="32"/>
          <w:szCs w:val="32"/>
        </w:rPr>
        <w:t>1</w:t>
      </w:r>
      <w:r>
        <w:rPr>
          <w:rFonts w:hint="eastAsia" w:ascii="仿宋_GB2312" w:eastAsia="仿宋_GB2312"/>
          <w:sz w:val="32"/>
          <w:szCs w:val="32"/>
        </w:rPr>
        <w:t>个实验技术人员编制。</w:t>
      </w:r>
    </w:p>
    <w:p>
      <w:pPr>
        <w:spacing w:line="53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）按仪器设备值核算实验技术人员编制</w:t>
      </w:r>
      <w:r>
        <w:rPr>
          <w:rFonts w:ascii="仿宋_GB2312" w:eastAsia="仿宋_GB2312"/>
          <w:sz w:val="32"/>
          <w:szCs w:val="32"/>
        </w:rPr>
        <w:t>Z</w:t>
      </w:r>
      <w:r>
        <w:rPr>
          <w:rFonts w:hint="eastAsia" w:ascii="仿宋_GB2312" w:eastAsia="仿宋_GB2312"/>
          <w:sz w:val="32"/>
          <w:szCs w:val="32"/>
        </w:rPr>
        <w:t>：</w:t>
      </w:r>
    </w:p>
    <w:p>
      <w:pPr>
        <w:spacing w:line="530" w:lineRule="exact"/>
        <w:ind w:firstLine="640" w:firstLineChars="200"/>
        <w:rPr>
          <w:rFonts w:ascii="仿宋_GB2312" w:eastAsia="仿宋_GB2312"/>
          <w:sz w:val="32"/>
          <w:szCs w:val="32"/>
        </w:rPr>
      </w:pPr>
      <w:r>
        <w:rPr>
          <w:rFonts w:hint="eastAsia" w:ascii="仿宋_GB2312" w:eastAsia="仿宋_GB2312"/>
          <w:sz w:val="32"/>
          <w:szCs w:val="32"/>
        </w:rPr>
        <w:t>除特大型仪器设备外，其它仪器设备从两方面核算后各按</w:t>
      </w:r>
      <w:r>
        <w:rPr>
          <w:rFonts w:ascii="仿宋_GB2312" w:eastAsia="仿宋_GB2312"/>
          <w:sz w:val="32"/>
          <w:szCs w:val="32"/>
        </w:rPr>
        <w:t>50%</w:t>
      </w:r>
      <w:r>
        <w:rPr>
          <w:rFonts w:hint="eastAsia" w:ascii="仿宋_GB2312" w:eastAsia="仿宋_GB2312"/>
          <w:sz w:val="32"/>
          <w:szCs w:val="32"/>
        </w:rPr>
        <w:t>加权核算出实验技术人员编制：</w:t>
      </w:r>
    </w:p>
    <w:p>
      <w:pPr>
        <w:spacing w:line="530" w:lineRule="exact"/>
        <w:ind w:firstLine="640" w:firstLineChars="200"/>
        <w:rPr>
          <w:rFonts w:ascii="仿宋_GB2312" w:eastAsia="仿宋_GB2312"/>
          <w:sz w:val="32"/>
          <w:szCs w:val="32"/>
        </w:rPr>
      </w:pPr>
      <w:r>
        <w:rPr>
          <w:rFonts w:hint="eastAsia" w:ascii="仿宋_GB2312" w:eastAsia="仿宋_GB2312"/>
          <w:sz w:val="32"/>
          <w:szCs w:val="32"/>
        </w:rPr>
        <w:t>①每</w:t>
      </w:r>
      <w:r>
        <w:rPr>
          <w:rFonts w:ascii="仿宋_GB2312" w:eastAsia="仿宋_GB2312"/>
          <w:sz w:val="32"/>
          <w:szCs w:val="32"/>
        </w:rPr>
        <w:t>500</w:t>
      </w:r>
      <w:r>
        <w:rPr>
          <w:rFonts w:hint="eastAsia" w:ascii="仿宋_GB2312" w:eastAsia="仿宋_GB2312"/>
          <w:sz w:val="32"/>
          <w:szCs w:val="32"/>
        </w:rPr>
        <w:t>万元仪器设备值核定</w:t>
      </w:r>
      <w:r>
        <w:rPr>
          <w:rFonts w:ascii="仿宋_GB2312" w:eastAsia="仿宋_GB2312"/>
          <w:sz w:val="32"/>
          <w:szCs w:val="32"/>
        </w:rPr>
        <w:t>1</w:t>
      </w:r>
      <w:r>
        <w:rPr>
          <w:rFonts w:hint="eastAsia" w:ascii="仿宋_GB2312" w:eastAsia="仿宋_GB2312"/>
          <w:sz w:val="32"/>
          <w:szCs w:val="32"/>
        </w:rPr>
        <w:t>个实验技术人员编制；</w:t>
      </w:r>
    </w:p>
    <w:p>
      <w:pPr>
        <w:spacing w:line="530" w:lineRule="exact"/>
        <w:ind w:firstLine="640" w:firstLineChars="200"/>
        <w:rPr>
          <w:rFonts w:ascii="仿宋_GB2312" w:eastAsia="仿宋_GB2312"/>
          <w:sz w:val="32"/>
          <w:szCs w:val="32"/>
        </w:rPr>
      </w:pPr>
      <w:r>
        <w:rPr>
          <w:rFonts w:hint="eastAsia" w:ascii="仿宋_GB2312" w:eastAsia="仿宋_GB2312"/>
          <w:sz w:val="32"/>
          <w:szCs w:val="32"/>
        </w:rPr>
        <w:t>②每</w:t>
      </w:r>
      <w:r>
        <w:rPr>
          <w:rFonts w:ascii="仿宋_GB2312" w:eastAsia="仿宋_GB2312"/>
          <w:sz w:val="32"/>
          <w:szCs w:val="32"/>
        </w:rPr>
        <w:t>1000</w:t>
      </w:r>
      <w:r>
        <w:rPr>
          <w:rFonts w:hint="eastAsia" w:ascii="仿宋_GB2312" w:eastAsia="仿宋_GB2312"/>
          <w:sz w:val="32"/>
          <w:szCs w:val="32"/>
        </w:rPr>
        <w:t>台套设备核定</w:t>
      </w:r>
      <w:r>
        <w:rPr>
          <w:rFonts w:ascii="仿宋_GB2312" w:eastAsia="仿宋_GB2312"/>
          <w:sz w:val="32"/>
          <w:szCs w:val="32"/>
        </w:rPr>
        <w:t>1</w:t>
      </w:r>
      <w:r>
        <w:rPr>
          <w:rFonts w:hint="eastAsia" w:ascii="仿宋_GB2312" w:eastAsia="仿宋_GB2312"/>
          <w:sz w:val="32"/>
          <w:szCs w:val="32"/>
        </w:rPr>
        <w:t>个实验技术人员编制。</w:t>
      </w:r>
    </w:p>
    <w:p>
      <w:pPr>
        <w:spacing w:line="530" w:lineRule="exact"/>
        <w:ind w:firstLine="643" w:firstLineChars="20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其它教辅类专业技术人员编制</w:t>
      </w:r>
    </w:p>
    <w:p>
      <w:pPr>
        <w:spacing w:line="530" w:lineRule="exact"/>
        <w:ind w:firstLine="640" w:firstLineChars="200"/>
        <w:rPr>
          <w:rFonts w:ascii="仿宋_GB2312" w:eastAsia="仿宋_GB2312"/>
          <w:sz w:val="32"/>
          <w:szCs w:val="32"/>
        </w:rPr>
      </w:pPr>
      <w:r>
        <w:rPr>
          <w:rFonts w:hint="eastAsia" w:ascii="仿宋_GB2312" w:eastAsia="仿宋_GB2312"/>
          <w:sz w:val="32"/>
          <w:szCs w:val="32"/>
        </w:rPr>
        <w:t>有关单位从事其它教辅类专业技术人员的编制根据实际人数核定。</w:t>
      </w:r>
    </w:p>
    <w:p>
      <w:pPr>
        <w:spacing w:line="530" w:lineRule="exact"/>
        <w:ind w:firstLine="643" w:firstLineChars="200"/>
        <w:rPr>
          <w:rFonts w:ascii="仿宋_GB2312" w:eastAsia="仿宋_GB2312"/>
          <w:b/>
          <w:sz w:val="32"/>
          <w:szCs w:val="32"/>
        </w:rPr>
      </w:pPr>
      <w:r>
        <w:rPr>
          <w:rFonts w:hint="eastAsia" w:ascii="仿宋_GB2312" w:eastAsia="仿宋_GB2312"/>
          <w:b/>
          <w:sz w:val="32"/>
          <w:szCs w:val="32"/>
        </w:rPr>
        <w:t>（五）工勤人员编制的核定</w:t>
      </w:r>
    </w:p>
    <w:p>
      <w:pPr>
        <w:spacing w:line="530" w:lineRule="exact"/>
        <w:ind w:firstLine="640" w:firstLineChars="200"/>
        <w:rPr>
          <w:rFonts w:ascii="仿宋_GB2312" w:eastAsia="仿宋_GB2312"/>
          <w:sz w:val="32"/>
          <w:szCs w:val="32"/>
        </w:rPr>
      </w:pPr>
      <w:r>
        <w:rPr>
          <w:rFonts w:hint="eastAsia" w:ascii="仿宋_GB2312" w:eastAsia="仿宋_GB2312"/>
          <w:sz w:val="32"/>
          <w:szCs w:val="32"/>
        </w:rPr>
        <w:t>学校根据现有工勤人员情况核算各单位工勤人员编制。</w:t>
      </w:r>
    </w:p>
    <w:p>
      <w:pPr>
        <w:rPr>
          <w:rFonts w:ascii="仿宋_GB2312" w:eastAsia="仿宋_GB2312"/>
          <w:sz w:val="32"/>
          <w:szCs w:val="32"/>
        </w:rPr>
      </w:pPr>
    </w:p>
    <w:sectPr>
      <w:headerReference r:id="rId3" w:type="default"/>
      <w:footerReference r:id="rId4" w:type="default"/>
      <w:footerReference r:id="rId5" w:type="even"/>
      <w:pgSz w:w="11906" w:h="16838"/>
      <w:pgMar w:top="1440" w:right="1644" w:bottom="1440" w:left="1644" w:header="851" w:footer="1077"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8584648"/>
    </w:sdtPr>
    <w:sdtEndPr>
      <w:rPr>
        <w:rFonts w:asciiTheme="minorEastAsia" w:hAnsiTheme="minorEastAsia" w:eastAsiaTheme="minorEastAsia"/>
        <w:sz w:val="24"/>
        <w:szCs w:val="24"/>
      </w:rPr>
    </w:sdtEndPr>
    <w:sdtContent>
      <w:p>
        <w:pPr>
          <w:pStyle w:val="4"/>
          <w:jc w:val="center"/>
          <w:rPr>
            <w:rFonts w:asciiTheme="minorEastAsia" w:hAnsiTheme="minorEastAsia" w:eastAsiaTheme="minorEastAsia"/>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PAGE   \* MERGEFORMAT</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w:t>
        </w:r>
        <w:r>
          <w:rPr>
            <w:rFonts w:asciiTheme="minorEastAsia" w:hAnsiTheme="minorEastAsia" w:eastAsiaTheme="minorEastAsia"/>
            <w:sz w:val="24"/>
            <w:szCs w:val="24"/>
          </w:rPr>
          <w:t xml:space="preserve"> 3 -</w:t>
        </w:r>
        <w:r>
          <w:rPr>
            <w:rFonts w:asciiTheme="minorEastAsia" w:hAnsiTheme="minorEastAsia" w:eastAsiaTheme="minorEastAsia"/>
            <w:sz w:val="24"/>
            <w:szCs w:val="24"/>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713D"/>
    <w:rsid w:val="00016C0E"/>
    <w:rsid w:val="00030067"/>
    <w:rsid w:val="000403A1"/>
    <w:rsid w:val="00050955"/>
    <w:rsid w:val="00062C76"/>
    <w:rsid w:val="00073BAB"/>
    <w:rsid w:val="000761DD"/>
    <w:rsid w:val="00086936"/>
    <w:rsid w:val="000B136B"/>
    <w:rsid w:val="000B2774"/>
    <w:rsid w:val="000C214A"/>
    <w:rsid w:val="000C4D57"/>
    <w:rsid w:val="000D3B5E"/>
    <w:rsid w:val="000E7A3F"/>
    <w:rsid w:val="000F32A0"/>
    <w:rsid w:val="00103161"/>
    <w:rsid w:val="00107184"/>
    <w:rsid w:val="00107965"/>
    <w:rsid w:val="00114417"/>
    <w:rsid w:val="00140D05"/>
    <w:rsid w:val="00145C2D"/>
    <w:rsid w:val="0015535F"/>
    <w:rsid w:val="0015766E"/>
    <w:rsid w:val="001619CB"/>
    <w:rsid w:val="00161ECD"/>
    <w:rsid w:val="0017076A"/>
    <w:rsid w:val="001A0B0C"/>
    <w:rsid w:val="001A4108"/>
    <w:rsid w:val="001B38BD"/>
    <w:rsid w:val="001C0CAD"/>
    <w:rsid w:val="001C1FC3"/>
    <w:rsid w:val="001C7F0E"/>
    <w:rsid w:val="001E6A0A"/>
    <w:rsid w:val="001F26B6"/>
    <w:rsid w:val="00205DBD"/>
    <w:rsid w:val="00207876"/>
    <w:rsid w:val="00211152"/>
    <w:rsid w:val="00213C75"/>
    <w:rsid w:val="00225BA6"/>
    <w:rsid w:val="00234526"/>
    <w:rsid w:val="00241D7D"/>
    <w:rsid w:val="00242325"/>
    <w:rsid w:val="00244075"/>
    <w:rsid w:val="002601BB"/>
    <w:rsid w:val="0027062D"/>
    <w:rsid w:val="00271722"/>
    <w:rsid w:val="0027483C"/>
    <w:rsid w:val="002A2931"/>
    <w:rsid w:val="002B23D1"/>
    <w:rsid w:val="002B4AE4"/>
    <w:rsid w:val="002B4E41"/>
    <w:rsid w:val="002B6FE6"/>
    <w:rsid w:val="002E4E02"/>
    <w:rsid w:val="002F4A65"/>
    <w:rsid w:val="002F53E7"/>
    <w:rsid w:val="00310071"/>
    <w:rsid w:val="00312742"/>
    <w:rsid w:val="00320696"/>
    <w:rsid w:val="00321A31"/>
    <w:rsid w:val="003315FA"/>
    <w:rsid w:val="00335764"/>
    <w:rsid w:val="00336EDA"/>
    <w:rsid w:val="00341C5B"/>
    <w:rsid w:val="003442DC"/>
    <w:rsid w:val="003500E0"/>
    <w:rsid w:val="003531FD"/>
    <w:rsid w:val="00355C7D"/>
    <w:rsid w:val="00365FA3"/>
    <w:rsid w:val="00366D72"/>
    <w:rsid w:val="00370343"/>
    <w:rsid w:val="0038007E"/>
    <w:rsid w:val="00394DFB"/>
    <w:rsid w:val="003A2B4F"/>
    <w:rsid w:val="003A452E"/>
    <w:rsid w:val="003C22C2"/>
    <w:rsid w:val="003D6178"/>
    <w:rsid w:val="003F4DC9"/>
    <w:rsid w:val="00401132"/>
    <w:rsid w:val="00411214"/>
    <w:rsid w:val="004166AB"/>
    <w:rsid w:val="00437E95"/>
    <w:rsid w:val="00437E9B"/>
    <w:rsid w:val="004406F6"/>
    <w:rsid w:val="00454A99"/>
    <w:rsid w:val="0046461E"/>
    <w:rsid w:val="00474233"/>
    <w:rsid w:val="00475F0F"/>
    <w:rsid w:val="00480C97"/>
    <w:rsid w:val="004851E2"/>
    <w:rsid w:val="004950B5"/>
    <w:rsid w:val="004A0483"/>
    <w:rsid w:val="004A296D"/>
    <w:rsid w:val="004A53A2"/>
    <w:rsid w:val="004B12D1"/>
    <w:rsid w:val="004D11DD"/>
    <w:rsid w:val="004D5D1E"/>
    <w:rsid w:val="005007B2"/>
    <w:rsid w:val="00505E0B"/>
    <w:rsid w:val="0050647D"/>
    <w:rsid w:val="0050651D"/>
    <w:rsid w:val="00511D6A"/>
    <w:rsid w:val="00517C02"/>
    <w:rsid w:val="00523EC8"/>
    <w:rsid w:val="0052447F"/>
    <w:rsid w:val="00535739"/>
    <w:rsid w:val="0053660B"/>
    <w:rsid w:val="0053711E"/>
    <w:rsid w:val="005464FA"/>
    <w:rsid w:val="00557AE9"/>
    <w:rsid w:val="00566256"/>
    <w:rsid w:val="00581A29"/>
    <w:rsid w:val="005837CD"/>
    <w:rsid w:val="00584FD7"/>
    <w:rsid w:val="005922BD"/>
    <w:rsid w:val="00594471"/>
    <w:rsid w:val="005B2EB9"/>
    <w:rsid w:val="005C1073"/>
    <w:rsid w:val="005C2F5E"/>
    <w:rsid w:val="005C6EAE"/>
    <w:rsid w:val="005D0358"/>
    <w:rsid w:val="005D28F2"/>
    <w:rsid w:val="005E057E"/>
    <w:rsid w:val="006069F9"/>
    <w:rsid w:val="00611CAA"/>
    <w:rsid w:val="00612827"/>
    <w:rsid w:val="00612A96"/>
    <w:rsid w:val="00614ED7"/>
    <w:rsid w:val="00632422"/>
    <w:rsid w:val="00635012"/>
    <w:rsid w:val="0065166C"/>
    <w:rsid w:val="00657A6A"/>
    <w:rsid w:val="00657C17"/>
    <w:rsid w:val="0066619B"/>
    <w:rsid w:val="00690B71"/>
    <w:rsid w:val="006965A8"/>
    <w:rsid w:val="006A43C0"/>
    <w:rsid w:val="006E52EA"/>
    <w:rsid w:val="00702D0D"/>
    <w:rsid w:val="00714058"/>
    <w:rsid w:val="0072496C"/>
    <w:rsid w:val="00734D21"/>
    <w:rsid w:val="007439AF"/>
    <w:rsid w:val="007540BC"/>
    <w:rsid w:val="00757ED1"/>
    <w:rsid w:val="00760756"/>
    <w:rsid w:val="00763291"/>
    <w:rsid w:val="00775C10"/>
    <w:rsid w:val="0077682C"/>
    <w:rsid w:val="00792DA7"/>
    <w:rsid w:val="007964FD"/>
    <w:rsid w:val="00797C4E"/>
    <w:rsid w:val="007C3E51"/>
    <w:rsid w:val="007D12F5"/>
    <w:rsid w:val="00804F33"/>
    <w:rsid w:val="00822DED"/>
    <w:rsid w:val="00827705"/>
    <w:rsid w:val="00833F37"/>
    <w:rsid w:val="0084651E"/>
    <w:rsid w:val="008507B1"/>
    <w:rsid w:val="00854075"/>
    <w:rsid w:val="00855306"/>
    <w:rsid w:val="00865B9B"/>
    <w:rsid w:val="00872A5C"/>
    <w:rsid w:val="0088134C"/>
    <w:rsid w:val="0089620E"/>
    <w:rsid w:val="008A5A97"/>
    <w:rsid w:val="008B58C0"/>
    <w:rsid w:val="008C4973"/>
    <w:rsid w:val="008D241D"/>
    <w:rsid w:val="008F7655"/>
    <w:rsid w:val="008F76F2"/>
    <w:rsid w:val="008F78A3"/>
    <w:rsid w:val="00904A17"/>
    <w:rsid w:val="00920EA3"/>
    <w:rsid w:val="00923293"/>
    <w:rsid w:val="009339FB"/>
    <w:rsid w:val="0093514A"/>
    <w:rsid w:val="0094003A"/>
    <w:rsid w:val="0094044D"/>
    <w:rsid w:val="00942224"/>
    <w:rsid w:val="00947B6E"/>
    <w:rsid w:val="00953E1E"/>
    <w:rsid w:val="009564D9"/>
    <w:rsid w:val="00957145"/>
    <w:rsid w:val="00971A9D"/>
    <w:rsid w:val="00990B0F"/>
    <w:rsid w:val="009916B5"/>
    <w:rsid w:val="009A198A"/>
    <w:rsid w:val="009E33CB"/>
    <w:rsid w:val="009F1897"/>
    <w:rsid w:val="009F36E1"/>
    <w:rsid w:val="00A01837"/>
    <w:rsid w:val="00A108A2"/>
    <w:rsid w:val="00A15B66"/>
    <w:rsid w:val="00A15D68"/>
    <w:rsid w:val="00A360D7"/>
    <w:rsid w:val="00A37F50"/>
    <w:rsid w:val="00A525E1"/>
    <w:rsid w:val="00A56374"/>
    <w:rsid w:val="00A63043"/>
    <w:rsid w:val="00A67DAC"/>
    <w:rsid w:val="00A80FF7"/>
    <w:rsid w:val="00A810E6"/>
    <w:rsid w:val="00A82C57"/>
    <w:rsid w:val="00A9026E"/>
    <w:rsid w:val="00A907C5"/>
    <w:rsid w:val="00AA3CC9"/>
    <w:rsid w:val="00AB2759"/>
    <w:rsid w:val="00AB2903"/>
    <w:rsid w:val="00AB7983"/>
    <w:rsid w:val="00AC3FCD"/>
    <w:rsid w:val="00AD1556"/>
    <w:rsid w:val="00AE1AF3"/>
    <w:rsid w:val="00AE3053"/>
    <w:rsid w:val="00AF1FCF"/>
    <w:rsid w:val="00B1688A"/>
    <w:rsid w:val="00B3441B"/>
    <w:rsid w:val="00B41F88"/>
    <w:rsid w:val="00B458B3"/>
    <w:rsid w:val="00B522D4"/>
    <w:rsid w:val="00B568DA"/>
    <w:rsid w:val="00B571D7"/>
    <w:rsid w:val="00B66432"/>
    <w:rsid w:val="00B6713D"/>
    <w:rsid w:val="00B814E2"/>
    <w:rsid w:val="00B82CF4"/>
    <w:rsid w:val="00B90389"/>
    <w:rsid w:val="00B90D1F"/>
    <w:rsid w:val="00B94F09"/>
    <w:rsid w:val="00B964B9"/>
    <w:rsid w:val="00BA0A4D"/>
    <w:rsid w:val="00BB3ACE"/>
    <w:rsid w:val="00BB4EFF"/>
    <w:rsid w:val="00BB62B4"/>
    <w:rsid w:val="00BB7B05"/>
    <w:rsid w:val="00BC0EFC"/>
    <w:rsid w:val="00BD48A5"/>
    <w:rsid w:val="00BD7CA2"/>
    <w:rsid w:val="00BF2F96"/>
    <w:rsid w:val="00BF3C19"/>
    <w:rsid w:val="00BF7E2F"/>
    <w:rsid w:val="00C074D2"/>
    <w:rsid w:val="00C147DC"/>
    <w:rsid w:val="00C14F00"/>
    <w:rsid w:val="00C157C8"/>
    <w:rsid w:val="00C23EC9"/>
    <w:rsid w:val="00C27572"/>
    <w:rsid w:val="00C27A5C"/>
    <w:rsid w:val="00C32C63"/>
    <w:rsid w:val="00C40DF0"/>
    <w:rsid w:val="00C43021"/>
    <w:rsid w:val="00C50679"/>
    <w:rsid w:val="00C576F5"/>
    <w:rsid w:val="00C63259"/>
    <w:rsid w:val="00C73ED3"/>
    <w:rsid w:val="00C763B3"/>
    <w:rsid w:val="00C8123F"/>
    <w:rsid w:val="00C85589"/>
    <w:rsid w:val="00C90B1C"/>
    <w:rsid w:val="00CC6665"/>
    <w:rsid w:val="00CD2761"/>
    <w:rsid w:val="00CF0160"/>
    <w:rsid w:val="00D13668"/>
    <w:rsid w:val="00D23B55"/>
    <w:rsid w:val="00D55926"/>
    <w:rsid w:val="00D616E0"/>
    <w:rsid w:val="00D647C3"/>
    <w:rsid w:val="00D6617F"/>
    <w:rsid w:val="00D85CDF"/>
    <w:rsid w:val="00D85FA1"/>
    <w:rsid w:val="00D94F27"/>
    <w:rsid w:val="00DA2912"/>
    <w:rsid w:val="00DA2A90"/>
    <w:rsid w:val="00DA47BB"/>
    <w:rsid w:val="00DA7BAA"/>
    <w:rsid w:val="00DB0321"/>
    <w:rsid w:val="00DC37FC"/>
    <w:rsid w:val="00DC59B8"/>
    <w:rsid w:val="00DD2FE8"/>
    <w:rsid w:val="00DF6744"/>
    <w:rsid w:val="00E161C5"/>
    <w:rsid w:val="00E26AC1"/>
    <w:rsid w:val="00E333FB"/>
    <w:rsid w:val="00E33890"/>
    <w:rsid w:val="00E37C54"/>
    <w:rsid w:val="00E4342B"/>
    <w:rsid w:val="00E54A54"/>
    <w:rsid w:val="00E63803"/>
    <w:rsid w:val="00E63AE0"/>
    <w:rsid w:val="00E73CDE"/>
    <w:rsid w:val="00EA064D"/>
    <w:rsid w:val="00EA3933"/>
    <w:rsid w:val="00EC1BD4"/>
    <w:rsid w:val="00EC296F"/>
    <w:rsid w:val="00ED59B4"/>
    <w:rsid w:val="00EF2F20"/>
    <w:rsid w:val="00F03B1B"/>
    <w:rsid w:val="00F06024"/>
    <w:rsid w:val="00F14E50"/>
    <w:rsid w:val="00F177C7"/>
    <w:rsid w:val="00F26D1F"/>
    <w:rsid w:val="00F306A8"/>
    <w:rsid w:val="00F33DC9"/>
    <w:rsid w:val="00F61457"/>
    <w:rsid w:val="00F61AD6"/>
    <w:rsid w:val="00F6543A"/>
    <w:rsid w:val="00F95DA5"/>
    <w:rsid w:val="00FA3DBE"/>
    <w:rsid w:val="00FA6626"/>
    <w:rsid w:val="00FB0579"/>
    <w:rsid w:val="00FD2CA6"/>
    <w:rsid w:val="00FF3032"/>
    <w:rsid w:val="00FF309B"/>
    <w:rsid w:val="00FF371F"/>
    <w:rsid w:val="1A6E344E"/>
    <w:rsid w:val="1AE14ED3"/>
    <w:rsid w:val="1C470224"/>
    <w:rsid w:val="228F1E16"/>
    <w:rsid w:val="22935586"/>
    <w:rsid w:val="33E82876"/>
    <w:rsid w:val="49F47E68"/>
    <w:rsid w:val="56007734"/>
    <w:rsid w:val="5E341ECF"/>
    <w:rsid w:val="67200DBB"/>
    <w:rsid w:val="67AA6582"/>
    <w:rsid w:val="6C4166AF"/>
    <w:rsid w:val="6E1D7C55"/>
    <w:rsid w:val="6EC777C3"/>
    <w:rsid w:val="6F5101C5"/>
    <w:rsid w:val="712A09D3"/>
    <w:rsid w:val="714C5ED2"/>
    <w:rsid w:val="7D482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16"/>
    <w:semiHidden/>
    <w:unhideWhenUsed/>
    <w:qFormat/>
    <w:uiPriority w:val="99"/>
    <w:rPr>
      <w:b/>
      <w:bCs/>
    </w:r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Char"/>
    <w:basedOn w:val="9"/>
    <w:link w:val="5"/>
    <w:qFormat/>
    <w:uiPriority w:val="99"/>
    <w:rPr>
      <w:rFonts w:ascii="Times New Roman" w:hAnsi="Times New Roman" w:eastAsia="宋体" w:cs="Times New Roman"/>
      <w:sz w:val="18"/>
      <w:szCs w:val="18"/>
    </w:rPr>
  </w:style>
  <w:style w:type="character" w:customStyle="1" w:styleId="13">
    <w:name w:val="页脚 Char"/>
    <w:basedOn w:val="9"/>
    <w:link w:val="4"/>
    <w:qFormat/>
    <w:uiPriority w:val="99"/>
    <w:rPr>
      <w:rFonts w:ascii="Times New Roman" w:hAnsi="Times New Roman" w:eastAsia="宋体" w:cs="Times New Roman"/>
      <w:sz w:val="18"/>
      <w:szCs w:val="18"/>
    </w:rPr>
  </w:style>
  <w:style w:type="paragraph" w:styleId="14">
    <w:name w:val="List Paragraph"/>
    <w:basedOn w:val="1"/>
    <w:qFormat/>
    <w:uiPriority w:val="34"/>
    <w:pPr>
      <w:ind w:firstLine="420" w:firstLineChars="200"/>
    </w:pPr>
    <w:rPr>
      <w:rFonts w:ascii="Calibri" w:hAnsi="Calibri"/>
      <w:szCs w:val="22"/>
    </w:rPr>
  </w:style>
  <w:style w:type="character" w:customStyle="1" w:styleId="15">
    <w:name w:val="批注文字 Char"/>
    <w:basedOn w:val="9"/>
    <w:link w:val="2"/>
    <w:qFormat/>
    <w:uiPriority w:val="99"/>
    <w:rPr>
      <w:rFonts w:ascii="Times New Roman" w:hAnsi="Times New Roman" w:eastAsia="宋体" w:cs="Times New Roman"/>
      <w:szCs w:val="24"/>
    </w:rPr>
  </w:style>
  <w:style w:type="character" w:customStyle="1" w:styleId="16">
    <w:name w:val="批注主题 Char"/>
    <w:basedOn w:val="15"/>
    <w:link w:val="7"/>
    <w:semiHidden/>
    <w:qFormat/>
    <w:uiPriority w:val="99"/>
    <w:rPr>
      <w:rFonts w:ascii="Times New Roman" w:hAnsi="Times New Roman" w:eastAsia="宋体" w:cs="Times New Roman"/>
      <w:b/>
      <w:bCs/>
      <w:szCs w:val="24"/>
    </w:rPr>
  </w:style>
  <w:style w:type="character" w:customStyle="1" w:styleId="17">
    <w:name w:val="批注框文本 Char"/>
    <w:basedOn w:val="9"/>
    <w:link w:val="3"/>
    <w:semiHidden/>
    <w:qFormat/>
    <w:uiPriority w:val="99"/>
    <w:rPr>
      <w:rFonts w:ascii="Times New Roman" w:hAnsi="Times New Roman" w:eastAsia="宋体" w:cs="Times New Roman"/>
      <w:sz w:val="18"/>
      <w:szCs w:val="18"/>
    </w:rPr>
  </w:style>
  <w:style w:type="character" w:customStyle="1" w:styleId="18">
    <w:name w:val="qowt-font6-gb2312"/>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20</Pages>
  <Words>1590</Words>
  <Characters>9069</Characters>
  <Lines>75</Lines>
  <Paragraphs>21</Paragraphs>
  <TotalTime>285</TotalTime>
  <ScaleCrop>false</ScaleCrop>
  <LinksUpToDate>false</LinksUpToDate>
  <CharactersWithSpaces>10638</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2020-02-28T10:25:00Z</dcterms:created>
  <dc:creator>hpa</dc:creator>
  <cp:lastModifiedBy>czy</cp:lastModifiedBy>
  <cp:lastPrinted>2020-04-24T08:56:00Z</cp:lastPrinted>
  <dcterms:modified xsi:type="dcterms:W3CDTF">2020-10-29T03:13:15Z</dcterms:modified>
  <cp:revision>254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