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themeFill="background1"/>
        <w:spacing w:line="700" w:lineRule="exact"/>
        <w:jc w:val="center"/>
        <w:rPr>
          <w:rFonts w:hint="eastAsia" w:ascii="宋体" w:hAnsi="宋体" w:eastAsia="宋体" w:cs="宋体"/>
          <w:b/>
          <w:bCs/>
          <w:color w:val="auto"/>
          <w:sz w:val="44"/>
          <w:szCs w:val="44"/>
          <w:highlight w:val="none"/>
        </w:rPr>
      </w:pPr>
    </w:p>
    <w:p>
      <w:pPr>
        <w:shd w:val="clear" w:fill="FFFFFF" w:themeFill="background1"/>
        <w:spacing w:line="700" w:lineRule="exact"/>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阜阳师范学院新校区南大门工程施工</w:t>
      </w:r>
    </w:p>
    <w:p>
      <w:pPr>
        <w:shd w:val="clear" w:fill="FFFFFF" w:themeFill="background1"/>
        <w:spacing w:line="700" w:lineRule="exact"/>
        <w:ind w:firstLine="722"/>
        <w:jc w:val="center"/>
        <w:rPr>
          <w:rFonts w:hint="eastAsia" w:ascii="宋体" w:hAnsi="宋体" w:eastAsia="宋体" w:cs="宋体"/>
          <w:b/>
          <w:bCs/>
          <w:color w:val="auto"/>
          <w:sz w:val="48"/>
          <w:szCs w:val="48"/>
          <w:highlight w:val="none"/>
        </w:rPr>
      </w:pPr>
    </w:p>
    <w:p>
      <w:pPr>
        <w:shd w:val="clear" w:fill="FFFFFF" w:themeFill="background1"/>
        <w:spacing w:line="700" w:lineRule="exact"/>
        <w:ind w:firstLine="722"/>
        <w:jc w:val="center"/>
        <w:rPr>
          <w:rFonts w:hint="eastAsia" w:ascii="宋体" w:hAnsi="宋体" w:eastAsia="宋体" w:cs="宋体"/>
          <w:b/>
          <w:bCs/>
          <w:color w:val="auto"/>
          <w:sz w:val="48"/>
          <w:szCs w:val="48"/>
          <w:highlight w:val="none"/>
        </w:rPr>
      </w:pPr>
    </w:p>
    <w:p>
      <w:pPr>
        <w:shd w:val="clear" w:fill="FFFFFF" w:themeFill="background1"/>
        <w:spacing w:line="360" w:lineRule="auto"/>
        <w:ind w:firstLine="722"/>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招  标  文  件</w:t>
      </w:r>
    </w:p>
    <w:p>
      <w:pPr>
        <w:shd w:val="clear" w:fill="FFFFFF" w:themeFill="background1"/>
        <w:spacing w:line="70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项目编号：FZGY-CGSZ20180181</w:t>
      </w:r>
    </w:p>
    <w:p>
      <w:pPr>
        <w:shd w:val="clear" w:fill="FFFFFF" w:themeFill="background1"/>
        <w:spacing w:line="700" w:lineRule="exact"/>
        <w:jc w:val="center"/>
        <w:rPr>
          <w:rFonts w:hint="eastAsia" w:ascii="宋体" w:hAnsi="宋体" w:eastAsia="宋体" w:cs="宋体"/>
          <w:b/>
          <w:bCs/>
          <w:color w:val="auto"/>
          <w:sz w:val="36"/>
          <w:szCs w:val="36"/>
          <w:highlight w:val="none"/>
        </w:rPr>
      </w:pPr>
    </w:p>
    <w:p>
      <w:pPr>
        <w:shd w:val="clear" w:fill="FFFFFF" w:themeFill="background1"/>
        <w:spacing w:line="700" w:lineRule="exact"/>
        <w:jc w:val="center"/>
        <w:rPr>
          <w:rFonts w:hint="eastAsia" w:ascii="宋体" w:hAnsi="宋体" w:eastAsia="宋体" w:cs="宋体"/>
          <w:b/>
          <w:bCs/>
          <w:color w:val="auto"/>
          <w:sz w:val="36"/>
          <w:szCs w:val="36"/>
          <w:highlight w:val="none"/>
        </w:rPr>
      </w:pPr>
    </w:p>
    <w:p>
      <w:pPr>
        <w:shd w:val="clear" w:fill="FFFFFF" w:themeFill="background1"/>
        <w:spacing w:line="700" w:lineRule="exact"/>
        <w:jc w:val="center"/>
        <w:rPr>
          <w:rFonts w:hint="eastAsia" w:ascii="宋体" w:hAnsi="宋体" w:eastAsia="宋体" w:cs="宋体"/>
          <w:b/>
          <w:bCs/>
          <w:color w:val="auto"/>
          <w:sz w:val="36"/>
          <w:szCs w:val="36"/>
          <w:highlight w:val="none"/>
        </w:rPr>
      </w:pPr>
    </w:p>
    <w:p>
      <w:pPr>
        <w:shd w:val="clear" w:fill="FFFFFF" w:themeFill="background1"/>
        <w:spacing w:line="700" w:lineRule="exact"/>
        <w:jc w:val="center"/>
        <w:rPr>
          <w:rFonts w:hint="eastAsia" w:ascii="宋体" w:hAnsi="宋体" w:eastAsia="宋体" w:cs="宋体"/>
          <w:b/>
          <w:bCs/>
          <w:color w:val="auto"/>
          <w:sz w:val="36"/>
          <w:szCs w:val="36"/>
          <w:highlight w:val="none"/>
        </w:rPr>
      </w:pPr>
    </w:p>
    <w:p>
      <w:pPr>
        <w:shd w:val="clear" w:fill="FFFFFF" w:themeFill="background1"/>
        <w:spacing w:line="700" w:lineRule="exact"/>
        <w:jc w:val="center"/>
        <w:rPr>
          <w:rFonts w:hint="eastAsia" w:ascii="宋体" w:hAnsi="宋体" w:eastAsia="宋体" w:cs="宋体"/>
          <w:b/>
          <w:bCs/>
          <w:color w:val="auto"/>
          <w:sz w:val="36"/>
          <w:szCs w:val="36"/>
          <w:highlight w:val="none"/>
        </w:rPr>
      </w:pPr>
    </w:p>
    <w:p>
      <w:pPr>
        <w:shd w:val="clear" w:fill="FFFFFF" w:themeFill="background1"/>
        <w:spacing w:line="700" w:lineRule="exact"/>
        <w:jc w:val="center"/>
        <w:rPr>
          <w:rFonts w:hint="eastAsia" w:ascii="宋体" w:hAnsi="宋体" w:eastAsia="宋体" w:cs="宋体"/>
          <w:b/>
          <w:bCs/>
          <w:color w:val="auto"/>
          <w:sz w:val="36"/>
          <w:szCs w:val="36"/>
          <w:highlight w:val="none"/>
        </w:rPr>
      </w:pPr>
    </w:p>
    <w:p>
      <w:pPr>
        <w:shd w:val="clear" w:fill="FFFFFF" w:themeFill="background1"/>
        <w:spacing w:line="700" w:lineRule="exact"/>
        <w:jc w:val="center"/>
        <w:rPr>
          <w:rFonts w:hint="eastAsia" w:ascii="宋体" w:hAnsi="宋体" w:eastAsia="宋体" w:cs="宋体"/>
          <w:b/>
          <w:bCs/>
          <w:color w:val="auto"/>
          <w:sz w:val="36"/>
          <w:szCs w:val="36"/>
          <w:highlight w:val="none"/>
        </w:rPr>
      </w:pPr>
    </w:p>
    <w:p>
      <w:pPr>
        <w:shd w:val="clear" w:fill="FFFFFF" w:themeFill="background1"/>
        <w:spacing w:line="700" w:lineRule="exact"/>
        <w:jc w:val="center"/>
        <w:rPr>
          <w:rFonts w:hint="eastAsia" w:ascii="宋体" w:hAnsi="宋体" w:eastAsia="宋体" w:cs="宋体"/>
          <w:b/>
          <w:bCs/>
          <w:color w:val="auto"/>
          <w:sz w:val="36"/>
          <w:szCs w:val="36"/>
          <w:highlight w:val="none"/>
        </w:rPr>
      </w:pPr>
    </w:p>
    <w:p>
      <w:pPr>
        <w:shd w:val="clear" w:fill="FFFFFF" w:themeFill="background1"/>
        <w:spacing w:line="700" w:lineRule="exact"/>
        <w:jc w:val="center"/>
        <w:rPr>
          <w:rFonts w:hint="eastAsia" w:ascii="宋体" w:hAnsi="宋体" w:eastAsia="宋体" w:cs="宋体"/>
          <w:b/>
          <w:bCs/>
          <w:color w:val="auto"/>
          <w:sz w:val="36"/>
          <w:szCs w:val="36"/>
          <w:highlight w:val="none"/>
        </w:rPr>
      </w:pPr>
    </w:p>
    <w:p>
      <w:pPr>
        <w:shd w:val="clear" w:fill="FFFFFF" w:themeFill="background1"/>
        <w:spacing w:line="700" w:lineRule="exact"/>
        <w:jc w:val="center"/>
        <w:rPr>
          <w:rFonts w:hint="eastAsia" w:ascii="宋体" w:hAnsi="宋体" w:eastAsia="宋体" w:cs="宋体"/>
          <w:b/>
          <w:bCs/>
          <w:color w:val="auto"/>
          <w:sz w:val="36"/>
          <w:szCs w:val="36"/>
          <w:highlight w:val="none"/>
        </w:rPr>
      </w:pPr>
    </w:p>
    <w:p>
      <w:pPr>
        <w:shd w:val="clear" w:fill="FFFFFF" w:themeFill="background1"/>
        <w:spacing w:line="70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招标人：</w:t>
      </w:r>
      <w:r>
        <w:rPr>
          <w:rFonts w:hint="eastAsia" w:ascii="宋体" w:hAnsi="宋体" w:eastAsia="宋体" w:cs="宋体"/>
          <w:b/>
          <w:bCs/>
          <w:color w:val="auto"/>
          <w:sz w:val="36"/>
          <w:szCs w:val="36"/>
          <w:highlight w:val="none"/>
          <w:u w:val="single"/>
        </w:rPr>
        <w:t>阜阳师范学院</w:t>
      </w:r>
      <w:r>
        <w:rPr>
          <w:rFonts w:hint="eastAsia" w:ascii="宋体" w:hAnsi="宋体" w:eastAsia="宋体" w:cs="宋体"/>
          <w:b/>
          <w:bCs/>
          <w:color w:val="auto"/>
          <w:sz w:val="36"/>
          <w:szCs w:val="36"/>
          <w:highlight w:val="none"/>
        </w:rPr>
        <w:t>（盖单位章）</w:t>
      </w:r>
    </w:p>
    <w:p>
      <w:pPr>
        <w:shd w:val="clear" w:fill="FFFFFF" w:themeFill="background1"/>
        <w:spacing w:line="70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u w:val="single"/>
        </w:rPr>
        <w:t xml:space="preserve"> 2018 </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u w:val="single"/>
        </w:rPr>
        <w:t xml:space="preserve"> </w:t>
      </w:r>
      <w:r>
        <w:rPr>
          <w:rFonts w:hint="eastAsia" w:ascii="宋体" w:hAnsi="宋体" w:eastAsia="宋体" w:cs="宋体"/>
          <w:b/>
          <w:bCs/>
          <w:color w:val="auto"/>
          <w:sz w:val="36"/>
          <w:szCs w:val="36"/>
          <w:highlight w:val="none"/>
          <w:u w:val="single"/>
          <w:lang w:val="en-US" w:eastAsia="zh-CN"/>
        </w:rPr>
        <w:t>6</w:t>
      </w:r>
      <w:r>
        <w:rPr>
          <w:rFonts w:hint="eastAsia" w:ascii="宋体" w:hAnsi="宋体" w:eastAsia="宋体" w:cs="宋体"/>
          <w:b/>
          <w:bCs/>
          <w:color w:val="auto"/>
          <w:sz w:val="36"/>
          <w:szCs w:val="36"/>
          <w:highlight w:val="none"/>
          <w:u w:val="single"/>
        </w:rPr>
        <w:t xml:space="preserve"> </w:t>
      </w:r>
      <w:r>
        <w:rPr>
          <w:rFonts w:hint="eastAsia" w:ascii="宋体" w:hAnsi="宋体" w:eastAsia="宋体" w:cs="宋体"/>
          <w:b/>
          <w:bCs/>
          <w:color w:val="auto"/>
          <w:sz w:val="36"/>
          <w:szCs w:val="36"/>
          <w:highlight w:val="none"/>
        </w:rPr>
        <w:t>月</w:t>
      </w:r>
      <w:r>
        <w:rPr>
          <w:rFonts w:hint="eastAsia" w:ascii="宋体" w:hAnsi="宋体" w:eastAsia="宋体" w:cs="宋体"/>
          <w:b/>
          <w:bCs/>
          <w:color w:val="auto"/>
          <w:sz w:val="36"/>
          <w:szCs w:val="36"/>
          <w:highlight w:val="none"/>
          <w:u w:val="single"/>
        </w:rPr>
        <w:t xml:space="preserve"> </w:t>
      </w:r>
      <w:r>
        <w:rPr>
          <w:rFonts w:hint="eastAsia" w:ascii="宋体" w:hAnsi="宋体" w:eastAsia="宋体" w:cs="宋体"/>
          <w:b/>
          <w:bCs/>
          <w:color w:val="auto"/>
          <w:sz w:val="36"/>
          <w:szCs w:val="36"/>
          <w:highlight w:val="none"/>
          <w:u w:val="single"/>
          <w:lang w:val="en-US" w:eastAsia="zh-CN"/>
        </w:rPr>
        <w:t xml:space="preserve">6 </w:t>
      </w:r>
      <w:r>
        <w:rPr>
          <w:rFonts w:hint="eastAsia" w:ascii="宋体" w:hAnsi="宋体" w:eastAsia="宋体" w:cs="宋体"/>
          <w:b/>
          <w:bCs/>
          <w:color w:val="auto"/>
          <w:sz w:val="36"/>
          <w:szCs w:val="36"/>
          <w:highlight w:val="none"/>
        </w:rPr>
        <w:t>日</w:t>
      </w:r>
    </w:p>
    <w:p>
      <w:pPr>
        <w:shd w:val="clear" w:fill="FFFFFF" w:themeFill="background1"/>
        <w:spacing w:after="468" w:afterLines="150" w:line="540" w:lineRule="exact"/>
        <w:ind w:firstLine="437"/>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pPr>
        <w:shd w:val="clear" w:fill="FFFFFF" w:themeFill="background1"/>
        <w:spacing w:after="468" w:afterLines="150" w:line="540" w:lineRule="exact"/>
        <w:ind w:firstLine="437"/>
        <w:jc w:val="left"/>
        <w:rPr>
          <w:rFonts w:hint="eastAsia" w:ascii="宋体" w:hAnsi="宋体" w:eastAsia="宋体" w:cs="宋体"/>
          <w:b/>
          <w:bCs/>
          <w:color w:val="auto"/>
          <w:sz w:val="36"/>
          <w:szCs w:val="36"/>
          <w:highlight w:val="none"/>
        </w:rPr>
      </w:pPr>
    </w:p>
    <w:sdt>
      <w:sdtPr>
        <w:rPr>
          <w:rFonts w:hint="eastAsia" w:ascii="宋体" w:hAnsi="宋体" w:eastAsia="宋体" w:cs="宋体"/>
          <w:color w:val="auto"/>
          <w:kern w:val="2"/>
          <w:sz w:val="21"/>
          <w:szCs w:val="21"/>
          <w:lang w:val="en-US" w:eastAsia="zh-CN" w:bidi="ar-SA"/>
        </w:rPr>
        <w:id w:val="147463377"/>
        <w:docPartObj>
          <w:docPartGallery w:val="Table of Contents"/>
          <w:docPartUnique/>
        </w:docPartObj>
      </w:sdtPr>
      <w:sdtEndPr>
        <w:rPr>
          <w:rFonts w:hint="eastAsia" w:ascii="宋体" w:hAnsi="宋体" w:eastAsia="宋体" w:cs="宋体"/>
          <w:color w:val="auto"/>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color w:val="auto"/>
            </w:rPr>
          </w:pPr>
          <w:bookmarkStart w:id="0" w:name="_Toc15126_WPSOffice_Type1"/>
          <w:r>
            <w:rPr>
              <w:rFonts w:hint="eastAsia" w:ascii="宋体" w:hAnsi="宋体" w:eastAsia="宋体" w:cs="宋体"/>
              <w:color w:val="auto"/>
              <w:sz w:val="21"/>
            </w:rPr>
            <w:t>目录</w:t>
          </w:r>
        </w:p>
        <w:p>
          <w:pPr>
            <w:pStyle w:val="42"/>
            <w:tabs>
              <w:tab w:val="right" w:leader="dot" w:pos="8504"/>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_Toc15168_WPSOffice_Level1 </w:instrText>
          </w:r>
          <w:r>
            <w:rPr>
              <w:rFonts w:hint="eastAsia" w:ascii="宋体" w:hAnsi="宋体" w:eastAsia="宋体" w:cs="宋体"/>
              <w:color w:val="auto"/>
              <w:sz w:val="28"/>
              <w:szCs w:val="28"/>
            </w:rPr>
            <w:fldChar w:fldCharType="separate"/>
          </w:r>
          <w:sdt>
            <w:sdtPr>
              <w:rPr>
                <w:rFonts w:hint="eastAsia" w:ascii="宋体" w:hAnsi="宋体" w:eastAsia="宋体" w:cs="宋体"/>
                <w:color w:val="auto"/>
                <w:kern w:val="2"/>
                <w:sz w:val="28"/>
                <w:szCs w:val="28"/>
                <w:lang w:val="en-US" w:eastAsia="zh-CN" w:bidi="ar-SA"/>
              </w:rPr>
              <w:id w:val="147463377"/>
              <w:placeholder>
                <w:docPart w:val="{5b706528-9749-403e-bdad-cbc24890abda}"/>
              </w:placeholder>
            </w:sdtPr>
            <w:sdtEndPr>
              <w:rPr>
                <w:rFonts w:hint="eastAsia" w:ascii="宋体" w:hAnsi="宋体" w:eastAsia="宋体" w:cs="宋体"/>
                <w:color w:val="auto"/>
                <w:kern w:val="2"/>
                <w:sz w:val="28"/>
                <w:szCs w:val="28"/>
                <w:lang w:val="en-US" w:eastAsia="zh-CN" w:bidi="ar-SA"/>
              </w:rPr>
            </w:sdtEndPr>
            <w:sdtContent>
              <w:r>
                <w:rPr>
                  <w:rFonts w:hint="eastAsia" w:ascii="宋体" w:hAnsi="宋体" w:eastAsia="宋体" w:cs="宋体"/>
                  <w:color w:val="auto"/>
                  <w:sz w:val="28"/>
                  <w:szCs w:val="28"/>
                </w:rPr>
                <w:t>第一章  招标公告</w:t>
              </w:r>
            </w:sdtContent>
          </w:sdt>
          <w:r>
            <w:rPr>
              <w:rFonts w:hint="eastAsia" w:ascii="宋体" w:hAnsi="宋体" w:eastAsia="宋体" w:cs="宋体"/>
              <w:color w:val="auto"/>
              <w:sz w:val="28"/>
              <w:szCs w:val="28"/>
            </w:rPr>
            <w:tab/>
          </w:r>
          <w:bookmarkStart w:id="1" w:name="_Toc15168_WPSOffice_Level1Page"/>
          <w:r>
            <w:rPr>
              <w:rFonts w:hint="eastAsia" w:ascii="宋体" w:hAnsi="宋体" w:eastAsia="宋体" w:cs="宋体"/>
              <w:color w:val="auto"/>
              <w:sz w:val="28"/>
              <w:szCs w:val="28"/>
            </w:rPr>
            <w:t>1</w:t>
          </w:r>
          <w:bookmarkEnd w:id="1"/>
          <w:r>
            <w:rPr>
              <w:rFonts w:hint="eastAsia" w:ascii="宋体" w:hAnsi="宋体" w:eastAsia="宋体" w:cs="宋体"/>
              <w:color w:val="auto"/>
              <w:sz w:val="28"/>
              <w:szCs w:val="28"/>
            </w:rPr>
            <w:fldChar w:fldCharType="end"/>
          </w:r>
        </w:p>
        <w:p>
          <w:pPr>
            <w:pStyle w:val="42"/>
            <w:tabs>
              <w:tab w:val="right" w:leader="dot" w:pos="8504"/>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_Toc15126_WPSOffice_Level1 </w:instrText>
          </w:r>
          <w:r>
            <w:rPr>
              <w:rFonts w:hint="eastAsia" w:ascii="宋体" w:hAnsi="宋体" w:eastAsia="宋体" w:cs="宋体"/>
              <w:color w:val="auto"/>
              <w:sz w:val="28"/>
              <w:szCs w:val="28"/>
            </w:rPr>
            <w:fldChar w:fldCharType="separate"/>
          </w:r>
          <w:sdt>
            <w:sdtPr>
              <w:rPr>
                <w:rFonts w:hint="eastAsia" w:ascii="宋体" w:hAnsi="宋体" w:eastAsia="宋体" w:cs="宋体"/>
                <w:color w:val="auto"/>
                <w:kern w:val="2"/>
                <w:sz w:val="28"/>
                <w:szCs w:val="28"/>
                <w:lang w:val="en-US" w:eastAsia="zh-CN" w:bidi="ar-SA"/>
              </w:rPr>
              <w:id w:val="147463377"/>
              <w:placeholder>
                <w:docPart w:val="{d5b20172-ecb3-4256-890a-b0b00974155e}"/>
              </w:placeholder>
            </w:sdtPr>
            <w:sdtEndPr>
              <w:rPr>
                <w:rFonts w:hint="eastAsia" w:ascii="宋体" w:hAnsi="宋体" w:eastAsia="宋体" w:cs="宋体"/>
                <w:color w:val="auto"/>
                <w:kern w:val="2"/>
                <w:sz w:val="28"/>
                <w:szCs w:val="28"/>
                <w:lang w:val="en-US" w:eastAsia="zh-CN" w:bidi="ar-SA"/>
              </w:rPr>
            </w:sdtEndPr>
            <w:sdtContent>
              <w:r>
                <w:rPr>
                  <w:rFonts w:hint="eastAsia" w:ascii="宋体" w:hAnsi="宋体" w:eastAsia="宋体" w:cs="宋体"/>
                  <w:color w:val="auto"/>
                  <w:sz w:val="28"/>
                  <w:szCs w:val="28"/>
                </w:rPr>
                <w:t>第二章  投标人须知</w:t>
              </w:r>
            </w:sdtContent>
          </w:sdt>
          <w:r>
            <w:rPr>
              <w:rFonts w:hint="eastAsia" w:ascii="宋体" w:hAnsi="宋体" w:eastAsia="宋体" w:cs="宋体"/>
              <w:color w:val="auto"/>
              <w:sz w:val="28"/>
              <w:szCs w:val="28"/>
            </w:rPr>
            <w:tab/>
          </w:r>
          <w:bookmarkStart w:id="2" w:name="_Toc15126_WPSOffice_Level1Page"/>
          <w:r>
            <w:rPr>
              <w:rFonts w:hint="eastAsia" w:ascii="宋体" w:hAnsi="宋体" w:eastAsia="宋体" w:cs="宋体"/>
              <w:color w:val="auto"/>
              <w:sz w:val="28"/>
              <w:szCs w:val="28"/>
            </w:rPr>
            <w:t>4</w:t>
          </w:r>
          <w:bookmarkEnd w:id="2"/>
          <w:r>
            <w:rPr>
              <w:rFonts w:hint="eastAsia" w:ascii="宋体" w:hAnsi="宋体" w:eastAsia="宋体" w:cs="宋体"/>
              <w:color w:val="auto"/>
              <w:sz w:val="28"/>
              <w:szCs w:val="28"/>
            </w:rPr>
            <w:fldChar w:fldCharType="end"/>
          </w:r>
        </w:p>
        <w:p>
          <w:pPr>
            <w:pStyle w:val="42"/>
            <w:tabs>
              <w:tab w:val="right" w:leader="dot" w:pos="8504"/>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_Toc7496_WPSOffice_Level1 </w:instrText>
          </w:r>
          <w:r>
            <w:rPr>
              <w:rFonts w:hint="eastAsia" w:ascii="宋体" w:hAnsi="宋体" w:eastAsia="宋体" w:cs="宋体"/>
              <w:color w:val="auto"/>
              <w:sz w:val="28"/>
              <w:szCs w:val="28"/>
            </w:rPr>
            <w:fldChar w:fldCharType="separate"/>
          </w:r>
          <w:sdt>
            <w:sdtPr>
              <w:rPr>
                <w:rFonts w:hint="eastAsia" w:ascii="宋体" w:hAnsi="宋体" w:eastAsia="宋体" w:cs="宋体"/>
                <w:color w:val="auto"/>
                <w:kern w:val="2"/>
                <w:sz w:val="28"/>
                <w:szCs w:val="28"/>
                <w:lang w:val="en-US" w:eastAsia="zh-CN" w:bidi="ar-SA"/>
              </w:rPr>
              <w:id w:val="147463377"/>
              <w:placeholder>
                <w:docPart w:val="{02dcabf0-cb0e-4240-bb05-5bf283df5f64}"/>
              </w:placeholder>
            </w:sdtPr>
            <w:sdtEndPr>
              <w:rPr>
                <w:rFonts w:hint="eastAsia" w:ascii="宋体" w:hAnsi="宋体" w:eastAsia="宋体" w:cs="宋体"/>
                <w:color w:val="auto"/>
                <w:kern w:val="2"/>
                <w:sz w:val="28"/>
                <w:szCs w:val="28"/>
                <w:lang w:val="en-US" w:eastAsia="zh-CN" w:bidi="ar-SA"/>
              </w:rPr>
            </w:sdtEndPr>
            <w:sdtContent>
              <w:r>
                <w:rPr>
                  <w:rFonts w:hint="eastAsia" w:ascii="宋体" w:hAnsi="宋体" w:eastAsia="宋体" w:cs="宋体"/>
                  <w:color w:val="auto"/>
                  <w:sz w:val="28"/>
                  <w:szCs w:val="28"/>
                </w:rPr>
                <w:t>第三章 评标办法</w:t>
              </w:r>
            </w:sdtContent>
          </w:sdt>
          <w:r>
            <w:rPr>
              <w:rFonts w:hint="eastAsia" w:ascii="宋体" w:hAnsi="宋体" w:eastAsia="宋体" w:cs="宋体"/>
              <w:color w:val="auto"/>
              <w:sz w:val="28"/>
              <w:szCs w:val="28"/>
            </w:rPr>
            <w:tab/>
          </w:r>
          <w:bookmarkStart w:id="3" w:name="_Toc7496_WPSOffice_Level1Page"/>
          <w:r>
            <w:rPr>
              <w:rFonts w:hint="eastAsia" w:ascii="宋体" w:hAnsi="宋体" w:eastAsia="宋体" w:cs="宋体"/>
              <w:color w:val="auto"/>
              <w:sz w:val="28"/>
              <w:szCs w:val="28"/>
            </w:rPr>
            <w:t>20</w:t>
          </w:r>
          <w:bookmarkEnd w:id="3"/>
          <w:r>
            <w:rPr>
              <w:rFonts w:hint="eastAsia" w:ascii="宋体" w:hAnsi="宋体" w:eastAsia="宋体" w:cs="宋体"/>
              <w:color w:val="auto"/>
              <w:sz w:val="28"/>
              <w:szCs w:val="28"/>
            </w:rPr>
            <w:fldChar w:fldCharType="end"/>
          </w:r>
        </w:p>
        <w:p>
          <w:pPr>
            <w:pStyle w:val="42"/>
            <w:tabs>
              <w:tab w:val="right" w:leader="dot" w:pos="8504"/>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_Toc18853_WPSOffice_Level1 </w:instrText>
          </w:r>
          <w:r>
            <w:rPr>
              <w:rFonts w:hint="eastAsia" w:ascii="宋体" w:hAnsi="宋体" w:eastAsia="宋体" w:cs="宋体"/>
              <w:color w:val="auto"/>
              <w:sz w:val="28"/>
              <w:szCs w:val="28"/>
            </w:rPr>
            <w:fldChar w:fldCharType="separate"/>
          </w:r>
          <w:sdt>
            <w:sdtPr>
              <w:rPr>
                <w:rFonts w:hint="eastAsia" w:ascii="宋体" w:hAnsi="宋体" w:eastAsia="宋体" w:cs="宋体"/>
                <w:color w:val="auto"/>
                <w:kern w:val="2"/>
                <w:sz w:val="28"/>
                <w:szCs w:val="28"/>
                <w:lang w:val="en-US" w:eastAsia="zh-CN" w:bidi="ar-SA"/>
              </w:rPr>
              <w:id w:val="147463377"/>
              <w:placeholder>
                <w:docPart w:val="{b45b1b4b-2ab2-4da2-a8e0-6258179a8a2e}"/>
              </w:placeholder>
            </w:sdtPr>
            <w:sdtEndPr>
              <w:rPr>
                <w:rFonts w:hint="eastAsia" w:ascii="宋体" w:hAnsi="宋体" w:eastAsia="宋体" w:cs="宋体"/>
                <w:color w:val="auto"/>
                <w:kern w:val="2"/>
                <w:sz w:val="28"/>
                <w:szCs w:val="28"/>
                <w:lang w:val="en-US" w:eastAsia="zh-CN" w:bidi="ar-SA"/>
              </w:rPr>
            </w:sdtEndPr>
            <w:sdtContent>
              <w:r>
                <w:rPr>
                  <w:rFonts w:hint="eastAsia" w:ascii="宋体" w:hAnsi="宋体" w:eastAsia="宋体" w:cs="宋体"/>
                  <w:color w:val="auto"/>
                  <w:sz w:val="28"/>
                  <w:szCs w:val="28"/>
                </w:rPr>
                <w:t>第四章 合同条款及格式</w:t>
              </w:r>
            </w:sdtContent>
          </w:sdt>
          <w:r>
            <w:rPr>
              <w:rFonts w:hint="eastAsia" w:ascii="宋体" w:hAnsi="宋体" w:eastAsia="宋体" w:cs="宋体"/>
              <w:color w:val="auto"/>
              <w:sz w:val="28"/>
              <w:szCs w:val="28"/>
            </w:rPr>
            <w:tab/>
          </w:r>
          <w:bookmarkStart w:id="4" w:name="_Toc18853_WPSOffice_Level1Page"/>
          <w:r>
            <w:rPr>
              <w:rFonts w:hint="eastAsia" w:ascii="宋体" w:hAnsi="宋体" w:eastAsia="宋体" w:cs="宋体"/>
              <w:color w:val="auto"/>
              <w:sz w:val="28"/>
              <w:szCs w:val="28"/>
            </w:rPr>
            <w:t>25</w:t>
          </w:r>
          <w:bookmarkEnd w:id="4"/>
          <w:r>
            <w:rPr>
              <w:rFonts w:hint="eastAsia" w:ascii="宋体" w:hAnsi="宋体" w:eastAsia="宋体" w:cs="宋体"/>
              <w:color w:val="auto"/>
              <w:sz w:val="28"/>
              <w:szCs w:val="28"/>
            </w:rPr>
            <w:fldChar w:fldCharType="end"/>
          </w:r>
        </w:p>
        <w:p>
          <w:pPr>
            <w:pStyle w:val="42"/>
            <w:tabs>
              <w:tab w:val="right" w:leader="dot" w:pos="8504"/>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_Toc15779_WPSOffice_Level1 </w:instrText>
          </w:r>
          <w:r>
            <w:rPr>
              <w:rFonts w:hint="eastAsia" w:ascii="宋体" w:hAnsi="宋体" w:eastAsia="宋体" w:cs="宋体"/>
              <w:color w:val="auto"/>
              <w:sz w:val="28"/>
              <w:szCs w:val="28"/>
            </w:rPr>
            <w:fldChar w:fldCharType="separate"/>
          </w:r>
          <w:sdt>
            <w:sdtPr>
              <w:rPr>
                <w:rFonts w:hint="eastAsia" w:ascii="宋体" w:hAnsi="宋体" w:eastAsia="宋体" w:cs="宋体"/>
                <w:color w:val="auto"/>
                <w:kern w:val="2"/>
                <w:sz w:val="28"/>
                <w:szCs w:val="28"/>
                <w:lang w:val="en-US" w:eastAsia="zh-CN" w:bidi="ar-SA"/>
              </w:rPr>
              <w:id w:val="147463377"/>
              <w:placeholder>
                <w:docPart w:val="{47fa8ec4-ef0e-45f5-a155-ae8b9bf83f55}"/>
              </w:placeholder>
            </w:sdtPr>
            <w:sdtEndPr>
              <w:rPr>
                <w:rFonts w:hint="eastAsia" w:ascii="宋体" w:hAnsi="宋体" w:eastAsia="宋体" w:cs="宋体"/>
                <w:color w:val="auto"/>
                <w:kern w:val="2"/>
                <w:sz w:val="28"/>
                <w:szCs w:val="28"/>
                <w:lang w:val="en-US" w:eastAsia="zh-CN" w:bidi="ar-SA"/>
              </w:rPr>
            </w:sdtEndPr>
            <w:sdtContent>
              <w:r>
                <w:rPr>
                  <w:rFonts w:hint="eastAsia" w:ascii="宋体" w:hAnsi="宋体" w:eastAsia="宋体" w:cs="宋体"/>
                  <w:color w:val="auto"/>
                  <w:sz w:val="28"/>
                  <w:szCs w:val="28"/>
                </w:rPr>
                <w:t>第五章  工程量清单  最高投标限价</w:t>
              </w:r>
            </w:sdtContent>
          </w:sdt>
          <w:r>
            <w:rPr>
              <w:rFonts w:hint="eastAsia" w:ascii="宋体" w:hAnsi="宋体" w:eastAsia="宋体" w:cs="宋体"/>
              <w:color w:val="auto"/>
              <w:sz w:val="28"/>
              <w:szCs w:val="28"/>
            </w:rPr>
            <w:tab/>
          </w:r>
          <w:bookmarkStart w:id="5" w:name="_Toc15779_WPSOffice_Level1Page"/>
          <w:r>
            <w:rPr>
              <w:rFonts w:hint="eastAsia" w:ascii="宋体" w:hAnsi="宋体" w:eastAsia="宋体" w:cs="宋体"/>
              <w:color w:val="auto"/>
              <w:sz w:val="28"/>
              <w:szCs w:val="28"/>
            </w:rPr>
            <w:t>34</w:t>
          </w:r>
          <w:bookmarkEnd w:id="5"/>
          <w:r>
            <w:rPr>
              <w:rFonts w:hint="eastAsia" w:ascii="宋体" w:hAnsi="宋体" w:eastAsia="宋体" w:cs="宋体"/>
              <w:color w:val="auto"/>
              <w:sz w:val="28"/>
              <w:szCs w:val="28"/>
            </w:rPr>
            <w:fldChar w:fldCharType="end"/>
          </w:r>
        </w:p>
        <w:p>
          <w:pPr>
            <w:pStyle w:val="42"/>
            <w:tabs>
              <w:tab w:val="right" w:leader="dot" w:pos="8504"/>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_Toc24729_WPSOffice_Level1 </w:instrText>
          </w:r>
          <w:r>
            <w:rPr>
              <w:rFonts w:hint="eastAsia" w:ascii="宋体" w:hAnsi="宋体" w:eastAsia="宋体" w:cs="宋体"/>
              <w:color w:val="auto"/>
              <w:sz w:val="28"/>
              <w:szCs w:val="28"/>
            </w:rPr>
            <w:fldChar w:fldCharType="separate"/>
          </w:r>
          <w:sdt>
            <w:sdtPr>
              <w:rPr>
                <w:rFonts w:hint="eastAsia" w:ascii="宋体" w:hAnsi="宋体" w:eastAsia="宋体" w:cs="宋体"/>
                <w:color w:val="auto"/>
                <w:kern w:val="2"/>
                <w:sz w:val="28"/>
                <w:szCs w:val="28"/>
                <w:lang w:val="en-US" w:eastAsia="zh-CN" w:bidi="ar-SA"/>
              </w:rPr>
              <w:id w:val="147463377"/>
              <w:placeholder>
                <w:docPart w:val="{50e3eb8b-3c71-479f-b812-41d01cf94085}"/>
              </w:placeholder>
            </w:sdtPr>
            <w:sdtEndPr>
              <w:rPr>
                <w:rFonts w:hint="eastAsia" w:ascii="宋体" w:hAnsi="宋体" w:eastAsia="宋体" w:cs="宋体"/>
                <w:color w:val="auto"/>
                <w:kern w:val="2"/>
                <w:sz w:val="28"/>
                <w:szCs w:val="28"/>
                <w:lang w:val="en-US" w:eastAsia="zh-CN" w:bidi="ar-SA"/>
              </w:rPr>
            </w:sdtEndPr>
            <w:sdtContent>
              <w:r>
                <w:rPr>
                  <w:rFonts w:hint="eastAsia" w:ascii="宋体" w:hAnsi="宋体" w:eastAsia="宋体" w:cs="宋体"/>
                  <w:color w:val="auto"/>
                  <w:sz w:val="28"/>
                  <w:szCs w:val="28"/>
                </w:rPr>
                <w:t>第六章  图  纸</w:t>
              </w:r>
            </w:sdtContent>
          </w:sdt>
          <w:r>
            <w:rPr>
              <w:rFonts w:hint="eastAsia" w:ascii="宋体" w:hAnsi="宋体" w:eastAsia="宋体" w:cs="宋体"/>
              <w:color w:val="auto"/>
              <w:sz w:val="28"/>
              <w:szCs w:val="28"/>
            </w:rPr>
            <w:tab/>
          </w:r>
          <w:bookmarkStart w:id="6" w:name="_Toc24729_WPSOffice_Level1Page"/>
          <w:r>
            <w:rPr>
              <w:rFonts w:hint="eastAsia" w:ascii="宋体" w:hAnsi="宋体" w:eastAsia="宋体" w:cs="宋体"/>
              <w:color w:val="auto"/>
              <w:sz w:val="28"/>
              <w:szCs w:val="28"/>
            </w:rPr>
            <w:t>36</w:t>
          </w:r>
          <w:bookmarkEnd w:id="6"/>
          <w:r>
            <w:rPr>
              <w:rFonts w:hint="eastAsia" w:ascii="宋体" w:hAnsi="宋体" w:eastAsia="宋体" w:cs="宋体"/>
              <w:color w:val="auto"/>
              <w:sz w:val="28"/>
              <w:szCs w:val="28"/>
            </w:rPr>
            <w:fldChar w:fldCharType="end"/>
          </w:r>
        </w:p>
        <w:p>
          <w:pPr>
            <w:pStyle w:val="42"/>
            <w:tabs>
              <w:tab w:val="right" w:leader="dot" w:pos="8504"/>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_Toc31826_WPSOffice_Level1 </w:instrText>
          </w:r>
          <w:r>
            <w:rPr>
              <w:rFonts w:hint="eastAsia" w:ascii="宋体" w:hAnsi="宋体" w:eastAsia="宋体" w:cs="宋体"/>
              <w:color w:val="auto"/>
              <w:sz w:val="28"/>
              <w:szCs w:val="28"/>
            </w:rPr>
            <w:fldChar w:fldCharType="separate"/>
          </w:r>
          <w:sdt>
            <w:sdtPr>
              <w:rPr>
                <w:rFonts w:hint="eastAsia" w:ascii="宋体" w:hAnsi="宋体" w:eastAsia="宋体" w:cs="宋体"/>
                <w:color w:val="auto"/>
                <w:kern w:val="2"/>
                <w:sz w:val="28"/>
                <w:szCs w:val="28"/>
                <w:lang w:val="en-US" w:eastAsia="zh-CN" w:bidi="ar-SA"/>
              </w:rPr>
              <w:id w:val="147463377"/>
              <w:placeholder>
                <w:docPart w:val="{df67ae32-e24e-4892-a23e-06c3a7e10f1e}"/>
              </w:placeholder>
            </w:sdtPr>
            <w:sdtEndPr>
              <w:rPr>
                <w:rFonts w:hint="eastAsia" w:ascii="宋体" w:hAnsi="宋体" w:eastAsia="宋体" w:cs="宋体"/>
                <w:color w:val="auto"/>
                <w:kern w:val="2"/>
                <w:sz w:val="28"/>
                <w:szCs w:val="28"/>
                <w:lang w:val="en-US" w:eastAsia="zh-CN" w:bidi="ar-SA"/>
              </w:rPr>
            </w:sdtEndPr>
            <w:sdtContent>
              <w:r>
                <w:rPr>
                  <w:rFonts w:hint="eastAsia" w:ascii="宋体" w:hAnsi="宋体" w:eastAsia="宋体" w:cs="宋体"/>
                  <w:color w:val="auto"/>
                  <w:sz w:val="28"/>
                  <w:szCs w:val="28"/>
                </w:rPr>
                <w:t>第七章 技术标准和要求</w:t>
              </w:r>
            </w:sdtContent>
          </w:sdt>
          <w:r>
            <w:rPr>
              <w:rFonts w:hint="eastAsia" w:ascii="宋体" w:hAnsi="宋体" w:eastAsia="宋体" w:cs="宋体"/>
              <w:color w:val="auto"/>
              <w:sz w:val="28"/>
              <w:szCs w:val="28"/>
            </w:rPr>
            <w:tab/>
          </w:r>
          <w:bookmarkStart w:id="7" w:name="_Toc31826_WPSOffice_Level1Page"/>
          <w:r>
            <w:rPr>
              <w:rFonts w:hint="eastAsia" w:ascii="宋体" w:hAnsi="宋体" w:eastAsia="宋体" w:cs="宋体"/>
              <w:color w:val="auto"/>
              <w:sz w:val="28"/>
              <w:szCs w:val="28"/>
            </w:rPr>
            <w:t>37</w:t>
          </w:r>
          <w:bookmarkEnd w:id="7"/>
          <w:r>
            <w:rPr>
              <w:rFonts w:hint="eastAsia" w:ascii="宋体" w:hAnsi="宋体" w:eastAsia="宋体" w:cs="宋体"/>
              <w:color w:val="auto"/>
              <w:sz w:val="28"/>
              <w:szCs w:val="28"/>
            </w:rPr>
            <w:fldChar w:fldCharType="end"/>
          </w:r>
        </w:p>
        <w:p>
          <w:pPr>
            <w:pStyle w:val="42"/>
            <w:tabs>
              <w:tab w:val="right" w:leader="dot" w:pos="8504"/>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_Toc22279_WPSOffice_Level1 </w:instrText>
          </w:r>
          <w:r>
            <w:rPr>
              <w:rFonts w:hint="eastAsia" w:ascii="宋体" w:hAnsi="宋体" w:eastAsia="宋体" w:cs="宋体"/>
              <w:color w:val="auto"/>
              <w:sz w:val="28"/>
              <w:szCs w:val="28"/>
            </w:rPr>
            <w:fldChar w:fldCharType="separate"/>
          </w:r>
          <w:sdt>
            <w:sdtPr>
              <w:rPr>
                <w:rFonts w:hint="eastAsia" w:ascii="宋体" w:hAnsi="宋体" w:eastAsia="宋体" w:cs="宋体"/>
                <w:color w:val="auto"/>
                <w:kern w:val="2"/>
                <w:sz w:val="28"/>
                <w:szCs w:val="28"/>
                <w:lang w:val="en-US" w:eastAsia="zh-CN" w:bidi="ar-SA"/>
              </w:rPr>
              <w:id w:val="147463377"/>
              <w:placeholder>
                <w:docPart w:val="{038203ab-bad9-4492-ba0e-b566443963dd}"/>
              </w:placeholder>
            </w:sdtPr>
            <w:sdtEndPr>
              <w:rPr>
                <w:rFonts w:hint="eastAsia" w:ascii="宋体" w:hAnsi="宋体" w:eastAsia="宋体" w:cs="宋体"/>
                <w:color w:val="auto"/>
                <w:kern w:val="2"/>
                <w:sz w:val="28"/>
                <w:szCs w:val="28"/>
                <w:lang w:val="en-US" w:eastAsia="zh-CN" w:bidi="ar-SA"/>
              </w:rPr>
            </w:sdtEndPr>
            <w:sdtContent>
              <w:r>
                <w:rPr>
                  <w:rFonts w:hint="eastAsia" w:ascii="宋体" w:hAnsi="宋体" w:eastAsia="宋体" w:cs="宋体"/>
                  <w:color w:val="auto"/>
                  <w:sz w:val="28"/>
                  <w:szCs w:val="28"/>
                </w:rPr>
                <w:t>第八章 投标文件格式</w:t>
              </w:r>
            </w:sdtContent>
          </w:sdt>
          <w:r>
            <w:rPr>
              <w:rFonts w:hint="eastAsia" w:ascii="宋体" w:hAnsi="宋体" w:eastAsia="宋体" w:cs="宋体"/>
              <w:color w:val="auto"/>
              <w:sz w:val="28"/>
              <w:szCs w:val="28"/>
            </w:rPr>
            <w:tab/>
          </w:r>
          <w:bookmarkStart w:id="8" w:name="_Toc22279_WPSOffice_Level1Page"/>
          <w:r>
            <w:rPr>
              <w:rFonts w:hint="eastAsia" w:ascii="宋体" w:hAnsi="宋体" w:eastAsia="宋体" w:cs="宋体"/>
              <w:color w:val="auto"/>
              <w:sz w:val="28"/>
              <w:szCs w:val="28"/>
            </w:rPr>
            <w:t>38</w:t>
          </w:r>
          <w:bookmarkEnd w:id="8"/>
          <w:r>
            <w:rPr>
              <w:rFonts w:hint="eastAsia" w:ascii="宋体" w:hAnsi="宋体" w:eastAsia="宋体" w:cs="宋体"/>
              <w:color w:val="auto"/>
              <w:sz w:val="28"/>
              <w:szCs w:val="28"/>
            </w:rPr>
            <w:fldChar w:fldCharType="end"/>
          </w:r>
        </w:p>
        <w:p>
          <w:pPr>
            <w:pStyle w:val="42"/>
            <w:tabs>
              <w:tab w:val="right" w:leader="dot" w:pos="8504"/>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_Toc19005_WPSOffice_Level1 </w:instrText>
          </w:r>
          <w:r>
            <w:rPr>
              <w:rFonts w:hint="eastAsia" w:ascii="宋体" w:hAnsi="宋体" w:eastAsia="宋体" w:cs="宋体"/>
              <w:color w:val="auto"/>
              <w:sz w:val="28"/>
              <w:szCs w:val="28"/>
            </w:rPr>
            <w:fldChar w:fldCharType="separate"/>
          </w:r>
          <w:sdt>
            <w:sdtPr>
              <w:rPr>
                <w:rFonts w:hint="eastAsia" w:ascii="宋体" w:hAnsi="宋体" w:eastAsia="宋体" w:cs="宋体"/>
                <w:color w:val="auto"/>
                <w:kern w:val="2"/>
                <w:sz w:val="28"/>
                <w:szCs w:val="28"/>
                <w:lang w:val="en-US" w:eastAsia="zh-CN" w:bidi="ar-SA"/>
              </w:rPr>
              <w:id w:val="147463377"/>
              <w:placeholder>
                <w:docPart w:val="{6fa55990-db32-436c-8d75-2492272c1307}"/>
              </w:placeholder>
            </w:sdtPr>
            <w:sdtEndPr>
              <w:rPr>
                <w:rFonts w:hint="eastAsia" w:ascii="宋体" w:hAnsi="宋体" w:eastAsia="宋体" w:cs="宋体"/>
                <w:color w:val="auto"/>
                <w:kern w:val="2"/>
                <w:sz w:val="28"/>
                <w:szCs w:val="28"/>
                <w:lang w:val="en-US" w:eastAsia="zh-CN" w:bidi="ar-SA"/>
              </w:rPr>
            </w:sdtEndPr>
            <w:sdtContent>
              <w:r>
                <w:rPr>
                  <w:rFonts w:hint="eastAsia" w:ascii="宋体" w:hAnsi="宋体" w:eastAsia="宋体" w:cs="宋体"/>
                  <w:color w:val="auto"/>
                  <w:sz w:val="28"/>
                  <w:szCs w:val="28"/>
                </w:rPr>
                <w:t>招标人、阜阳市政府采购中心及政府采购技术合作单位意见</w:t>
              </w:r>
            </w:sdtContent>
          </w:sdt>
          <w:r>
            <w:rPr>
              <w:rFonts w:hint="eastAsia" w:ascii="宋体" w:hAnsi="宋体" w:eastAsia="宋体" w:cs="宋体"/>
              <w:color w:val="auto"/>
              <w:sz w:val="28"/>
              <w:szCs w:val="28"/>
            </w:rPr>
            <w:tab/>
          </w:r>
          <w:bookmarkStart w:id="9" w:name="_Toc19005_WPSOffice_Level1Page"/>
          <w:r>
            <w:rPr>
              <w:rFonts w:hint="eastAsia" w:ascii="宋体" w:hAnsi="宋体" w:eastAsia="宋体" w:cs="宋体"/>
              <w:color w:val="auto"/>
              <w:sz w:val="28"/>
              <w:szCs w:val="28"/>
            </w:rPr>
            <w:t>55</w:t>
          </w:r>
          <w:bookmarkEnd w:id="9"/>
          <w:r>
            <w:rPr>
              <w:rFonts w:hint="eastAsia" w:ascii="宋体" w:hAnsi="宋体" w:eastAsia="宋体" w:cs="宋体"/>
              <w:color w:val="auto"/>
              <w:sz w:val="28"/>
              <w:szCs w:val="28"/>
            </w:rPr>
            <w:fldChar w:fldCharType="end"/>
          </w:r>
          <w:bookmarkEnd w:id="0"/>
        </w:p>
      </w:sdtContent>
    </w:sdt>
    <w:p>
      <w:pPr>
        <w:shd w:val="clear" w:fill="FFFFFF" w:themeFill="background1"/>
        <w:spacing w:line="360" w:lineRule="auto"/>
        <w:ind w:firstLine="435"/>
        <w:jc w:val="center"/>
        <w:outlineLvl w:val="0"/>
        <w:rPr>
          <w:rStyle w:val="32"/>
          <w:rFonts w:hint="eastAsia" w:ascii="宋体" w:hAnsi="宋体" w:eastAsia="宋体" w:cs="宋体"/>
          <w:color w:val="auto"/>
          <w:sz w:val="28"/>
          <w:szCs w:val="28"/>
          <w:highlight w:val="none"/>
        </w:rPr>
        <w:sectPr>
          <w:headerReference r:id="rId4" w:type="first"/>
          <w:footerReference r:id="rId6" w:type="first"/>
          <w:headerReference r:id="rId3" w:type="default"/>
          <w:footerReference r:id="rId5" w:type="default"/>
          <w:pgSz w:w="11906" w:h="16838"/>
          <w:pgMar w:top="1418" w:right="1701" w:bottom="1418" w:left="1701" w:header="851" w:footer="992" w:gutter="0"/>
          <w:pgBorders>
            <w:top w:val="none" w:sz="0" w:space="0"/>
            <w:left w:val="none" w:sz="0" w:space="0"/>
            <w:bottom w:val="none" w:sz="0" w:space="0"/>
            <w:right w:val="none" w:sz="0" w:space="0"/>
          </w:pgBorders>
          <w:pgNumType w:fmt="decimal" w:start="1" w:chapStyle="1"/>
          <w:cols w:space="720" w:num="1"/>
          <w:docGrid w:type="lines" w:linePitch="312" w:charSpace="0"/>
        </w:sectPr>
      </w:pPr>
    </w:p>
    <w:p>
      <w:pPr>
        <w:shd w:val="clear" w:fill="FFFFFF" w:themeFill="background1"/>
        <w:jc w:val="center"/>
        <w:outlineLvl w:val="0"/>
        <w:rPr>
          <w:rFonts w:hint="eastAsia" w:ascii="宋体" w:hAnsi="宋体" w:eastAsia="宋体" w:cs="宋体"/>
          <w:b/>
          <w:bCs/>
          <w:color w:val="auto"/>
          <w:sz w:val="32"/>
          <w:szCs w:val="32"/>
          <w:highlight w:val="none"/>
        </w:rPr>
      </w:pPr>
      <w:bookmarkStart w:id="10" w:name="_Toc355604664"/>
      <w:bookmarkStart w:id="11" w:name="_Toc368985787"/>
      <w:bookmarkStart w:id="12" w:name="_Toc15168_WPSOffice_Level1"/>
      <w:bookmarkStart w:id="13" w:name="_Toc1059"/>
      <w:r>
        <w:rPr>
          <w:rFonts w:hint="eastAsia" w:ascii="宋体" w:hAnsi="宋体" w:eastAsia="宋体" w:cs="宋体"/>
          <w:b/>
          <w:bCs/>
          <w:color w:val="auto"/>
          <w:sz w:val="32"/>
          <w:szCs w:val="32"/>
          <w:highlight w:val="none"/>
        </w:rPr>
        <w:t>第一章  招标公告</w:t>
      </w:r>
      <w:bookmarkEnd w:id="10"/>
      <w:bookmarkEnd w:id="11"/>
      <w:bookmarkEnd w:id="12"/>
      <w:r>
        <w:rPr>
          <w:rFonts w:hint="eastAsia" w:ascii="宋体" w:hAnsi="宋体" w:eastAsia="宋体" w:cs="宋体"/>
          <w:b/>
          <w:bCs/>
          <w:color w:val="auto"/>
          <w:sz w:val="32"/>
          <w:szCs w:val="32"/>
          <w:highlight w:val="none"/>
        </w:rPr>
        <w:t xml:space="preserve"> </w:t>
      </w:r>
    </w:p>
    <w:p>
      <w:pPr>
        <w:shd w:val="clear" w:fill="FFFFFF" w:themeFill="background1"/>
        <w:ind w:firstLine="435"/>
        <w:rPr>
          <w:rFonts w:hint="eastAsia" w:ascii="宋体" w:hAnsi="宋体" w:eastAsia="宋体" w:cs="宋体"/>
          <w:b/>
          <w:bCs/>
          <w:color w:val="auto"/>
          <w:sz w:val="24"/>
          <w:highlight w:val="none"/>
        </w:rPr>
      </w:pPr>
    </w:p>
    <w:p>
      <w:pPr>
        <w:shd w:val="clear" w:fill="FFFFFF" w:themeFill="background1"/>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u w:val="single"/>
        </w:rPr>
        <w:t>阜阳师范学院新校区南大门工程</w:t>
      </w:r>
      <w:r>
        <w:rPr>
          <w:rFonts w:hint="eastAsia" w:ascii="宋体" w:hAnsi="宋体" w:eastAsia="宋体" w:cs="宋体"/>
          <w:b/>
          <w:bCs/>
          <w:color w:val="auto"/>
          <w:sz w:val="24"/>
          <w:szCs w:val="24"/>
          <w:highlight w:val="none"/>
        </w:rPr>
        <w:t>施工招标公告</w:t>
      </w:r>
    </w:p>
    <w:p>
      <w:pPr>
        <w:shd w:val="clear" w:fill="FFFFFF" w:themeFill="background1"/>
        <w:spacing w:line="440" w:lineRule="exact"/>
        <w:outlineLvl w:val="1"/>
        <w:rPr>
          <w:rFonts w:hint="eastAsia" w:ascii="宋体" w:hAnsi="宋体" w:eastAsia="宋体" w:cs="宋体"/>
          <w:b/>
          <w:bCs/>
          <w:color w:val="auto"/>
          <w:sz w:val="24"/>
          <w:szCs w:val="24"/>
          <w:highlight w:val="none"/>
        </w:rPr>
      </w:pPr>
      <w:bookmarkStart w:id="14" w:name="_Toc355604665"/>
      <w:r>
        <w:rPr>
          <w:rFonts w:hint="eastAsia" w:ascii="宋体" w:hAnsi="宋体" w:eastAsia="宋体" w:cs="宋体"/>
          <w:b/>
          <w:bCs/>
          <w:color w:val="auto"/>
          <w:sz w:val="24"/>
          <w:szCs w:val="24"/>
          <w:highlight w:val="none"/>
        </w:rPr>
        <w:t>1.招标条件</w:t>
      </w:r>
      <w:bookmarkEnd w:id="14"/>
    </w:p>
    <w:p>
      <w:pPr>
        <w:shd w:val="clear" w:fill="FFFFFF" w:themeFill="background1"/>
        <w:spacing w:line="440" w:lineRule="exact"/>
        <w:ind w:firstLine="600" w:firstLineChars="250"/>
        <w:rPr>
          <w:rFonts w:hint="eastAsia" w:ascii="宋体" w:hAnsi="宋体" w:eastAsia="宋体" w:cs="宋体"/>
          <w:bCs/>
          <w:color w:val="auto"/>
          <w:sz w:val="24"/>
          <w:highlight w:val="none"/>
        </w:rPr>
      </w:pPr>
      <w:bookmarkStart w:id="15" w:name="_Toc355604666"/>
      <w:r>
        <w:rPr>
          <w:rFonts w:hint="eastAsia" w:ascii="宋体" w:hAnsi="宋体" w:eastAsia="宋体" w:cs="宋体"/>
          <w:bCs/>
          <w:color w:val="auto"/>
          <w:sz w:val="24"/>
          <w:highlight w:val="none"/>
        </w:rPr>
        <w:t>本招标项目</w:t>
      </w:r>
      <w:r>
        <w:rPr>
          <w:rFonts w:hint="eastAsia" w:ascii="宋体" w:hAnsi="宋体" w:eastAsia="宋体" w:cs="宋体"/>
          <w:b/>
          <w:bCs/>
          <w:color w:val="auto"/>
          <w:sz w:val="24"/>
          <w:szCs w:val="24"/>
          <w:highlight w:val="none"/>
          <w:u w:val="single"/>
        </w:rPr>
        <w:t>阜阳师范学院新校区南大门工程施工</w:t>
      </w:r>
      <w:r>
        <w:rPr>
          <w:rFonts w:hint="eastAsia" w:ascii="宋体" w:hAnsi="宋体" w:eastAsia="宋体" w:cs="宋体"/>
          <w:bCs/>
          <w:color w:val="auto"/>
          <w:sz w:val="24"/>
          <w:highlight w:val="none"/>
        </w:rPr>
        <w:t>已由</w:t>
      </w:r>
      <w:r>
        <w:rPr>
          <w:rFonts w:hint="eastAsia" w:ascii="宋体" w:hAnsi="宋体" w:eastAsia="宋体" w:cs="宋体"/>
          <w:b/>
          <w:color w:val="auto"/>
          <w:sz w:val="24"/>
          <w:highlight w:val="none"/>
          <w:u w:val="single"/>
        </w:rPr>
        <w:t>安徽省财政厅</w:t>
      </w:r>
      <w:r>
        <w:rPr>
          <w:rFonts w:hint="eastAsia" w:ascii="宋体" w:hAnsi="宋体" w:eastAsia="宋体" w:cs="宋体"/>
          <w:bCs/>
          <w:color w:val="auto"/>
          <w:sz w:val="24"/>
          <w:highlight w:val="none"/>
        </w:rPr>
        <w:t>以</w:t>
      </w:r>
      <w:r>
        <w:rPr>
          <w:rFonts w:hint="eastAsia" w:ascii="宋体" w:hAnsi="宋体" w:eastAsia="宋体" w:cs="宋体"/>
          <w:bCs/>
          <w:color w:val="auto"/>
          <w:sz w:val="24"/>
          <w:highlight w:val="none"/>
          <w:u w:val="single"/>
        </w:rPr>
        <w:t xml:space="preserve">            </w:t>
      </w:r>
      <w:r>
        <w:rPr>
          <w:rFonts w:hint="eastAsia" w:ascii="宋体" w:hAnsi="宋体" w:eastAsia="宋体" w:cs="宋体"/>
          <w:b/>
          <w:bCs/>
          <w:color w:val="auto"/>
          <w:sz w:val="24"/>
          <w:szCs w:val="24"/>
          <w:highlight w:val="none"/>
          <w:u w:val="single"/>
        </w:rPr>
        <w:t>DFCG2017-0283</w:t>
      </w:r>
      <w:r>
        <w:rPr>
          <w:rFonts w:hint="eastAsia" w:ascii="宋体" w:hAnsi="宋体" w:eastAsia="宋体" w:cs="宋体"/>
          <w:bCs/>
          <w:color w:val="auto"/>
          <w:sz w:val="24"/>
          <w:highlight w:val="none"/>
        </w:rPr>
        <w:t>批准建设，项目法人为</w:t>
      </w:r>
      <w:r>
        <w:rPr>
          <w:rFonts w:hint="eastAsia" w:ascii="宋体" w:hAnsi="宋体" w:eastAsia="宋体" w:cs="宋体"/>
          <w:b/>
          <w:bCs/>
          <w:color w:val="auto"/>
          <w:sz w:val="24"/>
          <w:szCs w:val="24"/>
          <w:highlight w:val="none"/>
          <w:u w:val="single"/>
        </w:rPr>
        <w:t>阜阳师范学院</w:t>
      </w:r>
      <w:r>
        <w:rPr>
          <w:rFonts w:hint="eastAsia" w:ascii="宋体" w:hAnsi="宋体" w:eastAsia="宋体" w:cs="宋体"/>
          <w:bCs/>
          <w:color w:val="auto"/>
          <w:sz w:val="24"/>
          <w:highlight w:val="none"/>
        </w:rPr>
        <w:t>，招标人为</w:t>
      </w:r>
      <w:r>
        <w:rPr>
          <w:rFonts w:hint="eastAsia" w:ascii="宋体" w:hAnsi="宋体" w:eastAsia="宋体" w:cs="宋体"/>
          <w:b/>
          <w:bCs/>
          <w:color w:val="auto"/>
          <w:sz w:val="24"/>
          <w:szCs w:val="24"/>
          <w:highlight w:val="none"/>
          <w:u w:val="single"/>
        </w:rPr>
        <w:t>阜阳师范学院</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，建设资金来自</w:t>
      </w:r>
      <w:r>
        <w:rPr>
          <w:rFonts w:hint="eastAsia" w:ascii="宋体" w:hAnsi="宋体" w:eastAsia="宋体" w:cs="宋体"/>
          <w:b/>
          <w:bCs/>
          <w:color w:val="auto"/>
          <w:sz w:val="24"/>
          <w:szCs w:val="24"/>
          <w:highlight w:val="none"/>
          <w:u w:val="single"/>
        </w:rPr>
        <w:t>财政资金</w:t>
      </w:r>
      <w:r>
        <w:rPr>
          <w:rFonts w:hint="eastAsia" w:ascii="宋体" w:hAnsi="宋体" w:eastAsia="宋体" w:cs="宋体"/>
          <w:bCs/>
          <w:color w:val="auto"/>
          <w:sz w:val="24"/>
          <w:highlight w:val="none"/>
        </w:rPr>
        <w:t>，项目出资比例为</w:t>
      </w:r>
      <w:r>
        <w:rPr>
          <w:rFonts w:hint="eastAsia" w:ascii="宋体" w:hAnsi="宋体" w:eastAsia="宋体" w:cs="宋体"/>
          <w:b/>
          <w:bCs/>
          <w:color w:val="auto"/>
          <w:sz w:val="24"/>
          <w:szCs w:val="24"/>
          <w:highlight w:val="none"/>
          <w:u w:val="single"/>
        </w:rPr>
        <w:t>100%</w:t>
      </w:r>
      <w:r>
        <w:rPr>
          <w:rFonts w:hint="eastAsia" w:ascii="宋体" w:hAnsi="宋体" w:eastAsia="宋体" w:cs="宋体"/>
          <w:bCs/>
          <w:color w:val="auto"/>
          <w:sz w:val="24"/>
          <w:highlight w:val="none"/>
        </w:rPr>
        <w:t>。项目已具备招标条件，现对该项目的施工进行公开招标。</w:t>
      </w:r>
    </w:p>
    <w:p>
      <w:pPr>
        <w:shd w:val="clear" w:fill="FFFFFF" w:themeFill="background1"/>
        <w:spacing w:line="440" w:lineRule="exac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2.项目概况与招标范围</w:t>
      </w:r>
      <w:bookmarkEnd w:id="15"/>
    </w:p>
    <w:p>
      <w:pPr>
        <w:shd w:val="clear" w:fill="FFFFFF" w:themeFill="background1"/>
        <w:spacing w:line="440" w:lineRule="exact"/>
        <w:ind w:firstLine="480" w:firstLineChars="200"/>
        <w:outlineLvl w:val="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2.1 建设地点:</w:t>
      </w:r>
      <w:r>
        <w:rPr>
          <w:rFonts w:hint="eastAsia" w:ascii="宋体" w:hAnsi="宋体" w:eastAsia="宋体" w:cs="宋体"/>
          <w:bCs/>
          <w:color w:val="auto"/>
          <w:sz w:val="24"/>
          <w:highlight w:val="none"/>
          <w:u w:val="single"/>
        </w:rPr>
        <w:t xml:space="preserve">   </w:t>
      </w:r>
      <w:r>
        <w:rPr>
          <w:rFonts w:hint="eastAsia" w:ascii="宋体" w:hAnsi="宋体" w:eastAsia="宋体" w:cs="宋体"/>
          <w:b/>
          <w:bCs/>
          <w:color w:val="auto"/>
          <w:sz w:val="24"/>
          <w:szCs w:val="24"/>
          <w:highlight w:val="none"/>
          <w:u w:val="single"/>
        </w:rPr>
        <w:t>阜阳师范学院新校区</w:t>
      </w:r>
      <w:r>
        <w:rPr>
          <w:rFonts w:hint="eastAsia" w:ascii="宋体" w:hAnsi="宋体" w:eastAsia="宋体" w:cs="宋体"/>
          <w:bCs/>
          <w:color w:val="auto"/>
          <w:sz w:val="24"/>
          <w:highlight w:val="none"/>
          <w:u w:val="single"/>
        </w:rPr>
        <w:t xml:space="preserve">    </w:t>
      </w:r>
    </w:p>
    <w:p>
      <w:pPr>
        <w:shd w:val="clear" w:fill="FFFFFF" w:themeFill="background1"/>
        <w:spacing w:line="440" w:lineRule="exact"/>
        <w:ind w:firstLine="480" w:firstLineChars="200"/>
        <w:outlineLvl w:val="2"/>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highlight w:val="none"/>
        </w:rPr>
        <w:t>2.2 建设规模:</w:t>
      </w:r>
      <w:r>
        <w:rPr>
          <w:rFonts w:hint="eastAsia" w:ascii="宋体" w:hAnsi="宋体" w:eastAsia="宋体" w:cs="宋体"/>
          <w:bCs/>
          <w:color w:val="auto"/>
          <w:sz w:val="24"/>
          <w:highlight w:val="none"/>
          <w:u w:val="single"/>
        </w:rPr>
        <w:t xml:space="preserve"> </w:t>
      </w:r>
      <w:r>
        <w:rPr>
          <w:rFonts w:hint="eastAsia" w:ascii="宋体" w:hAnsi="宋体" w:eastAsia="宋体" w:cs="宋体"/>
          <w:b/>
          <w:bCs/>
          <w:color w:val="auto"/>
          <w:sz w:val="24"/>
          <w:szCs w:val="24"/>
          <w:highlight w:val="none"/>
          <w:u w:val="single"/>
        </w:rPr>
        <w:t xml:space="preserve">南大门主体工程面积约1430.7平方米、高度16.2米，1层框架；广场铺装面积约10000平方米；围墙长度约455米。主体工程局部单体跨度约21米、局部单层高度约9.6米、外装饰采取幕墙方式装修。 </w:t>
      </w:r>
      <w:r>
        <w:rPr>
          <w:rFonts w:hint="eastAsia" w:ascii="宋体" w:hAnsi="宋体" w:eastAsia="宋体" w:cs="宋体"/>
          <w:bCs/>
          <w:color w:val="auto"/>
          <w:sz w:val="24"/>
          <w:szCs w:val="24"/>
          <w:highlight w:val="none"/>
          <w:u w:val="single"/>
        </w:rPr>
        <w:t xml:space="preserve"> </w:t>
      </w:r>
    </w:p>
    <w:p>
      <w:pPr>
        <w:shd w:val="clear" w:fill="FFFFFF" w:themeFill="background1"/>
        <w:spacing w:line="440" w:lineRule="exact"/>
        <w:ind w:firstLine="480" w:firstLineChars="200"/>
        <w:outlineLvl w:val="2"/>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4"/>
          <w:highlight w:val="none"/>
        </w:rPr>
        <w:t>2.3 计划工期:</w:t>
      </w:r>
      <w:r>
        <w:rPr>
          <w:rFonts w:hint="eastAsia" w:ascii="宋体" w:hAnsi="宋体" w:eastAsia="宋体" w:cs="宋体"/>
          <w:bCs/>
          <w:color w:val="auto"/>
          <w:sz w:val="24"/>
          <w:highlight w:val="none"/>
          <w:u w:val="single"/>
        </w:rPr>
        <w:t xml:space="preserve">   180日历天     </w:t>
      </w:r>
    </w:p>
    <w:p>
      <w:pPr>
        <w:shd w:val="clear" w:fill="FFFFFF" w:themeFill="background1"/>
        <w:spacing w:line="440" w:lineRule="exact"/>
        <w:ind w:firstLine="480" w:firstLineChars="200"/>
        <w:outlineLvl w:val="2"/>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4"/>
          <w:highlight w:val="none"/>
        </w:rPr>
        <w:t>2.4 招标范围：</w:t>
      </w:r>
      <w:r>
        <w:rPr>
          <w:rFonts w:hint="eastAsia" w:ascii="宋体" w:hAnsi="宋体" w:eastAsia="宋体" w:cs="宋体"/>
          <w:bCs/>
          <w:color w:val="auto"/>
          <w:sz w:val="24"/>
          <w:highlight w:val="none"/>
          <w:u w:val="single"/>
        </w:rPr>
        <w:t xml:space="preserve">   </w:t>
      </w:r>
      <w:r>
        <w:rPr>
          <w:rFonts w:hint="eastAsia" w:ascii="宋体" w:hAnsi="宋体" w:eastAsia="宋体" w:cs="宋体"/>
          <w:b/>
          <w:bCs/>
          <w:color w:val="auto"/>
          <w:sz w:val="24"/>
          <w:szCs w:val="24"/>
          <w:highlight w:val="none"/>
          <w:u w:val="single"/>
        </w:rPr>
        <w:t>工程施工图纸、工程量清单及招标文件规定范围全部内容</w:t>
      </w:r>
      <w:r>
        <w:rPr>
          <w:rFonts w:hint="eastAsia" w:ascii="宋体" w:hAnsi="宋体" w:eastAsia="宋体" w:cs="宋体"/>
          <w:bCs/>
          <w:color w:val="auto"/>
          <w:sz w:val="24"/>
          <w:highlight w:val="none"/>
          <w:u w:val="single"/>
        </w:rPr>
        <w:t xml:space="preserve">  </w:t>
      </w:r>
    </w:p>
    <w:p>
      <w:pPr>
        <w:shd w:val="clear" w:fill="FFFFFF" w:themeFill="background1"/>
        <w:spacing w:line="440" w:lineRule="exact"/>
        <w:ind w:firstLine="480" w:firstLineChars="200"/>
        <w:outlineLvl w:val="2"/>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2.5 标段划分:</w:t>
      </w:r>
      <w:r>
        <w:rPr>
          <w:rFonts w:hint="eastAsia" w:ascii="宋体" w:hAnsi="宋体" w:eastAsia="宋体" w:cs="宋体"/>
          <w:bCs/>
          <w:color w:val="auto"/>
          <w:sz w:val="24"/>
          <w:highlight w:val="none"/>
          <w:u w:val="single"/>
        </w:rPr>
        <w:t xml:space="preserve">   1个标段              </w:t>
      </w:r>
    </w:p>
    <w:p>
      <w:pPr>
        <w:shd w:val="clear" w:fill="FFFFFF" w:themeFill="background1"/>
        <w:spacing w:line="440" w:lineRule="exact"/>
        <w:ind w:firstLine="480" w:firstLineChars="200"/>
        <w:outlineLvl w:val="2"/>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2.6 合同估算价：</w:t>
      </w:r>
      <w:r>
        <w:rPr>
          <w:rFonts w:hint="eastAsia" w:ascii="宋体" w:hAnsi="宋体" w:eastAsia="宋体" w:cs="宋体"/>
          <w:bCs/>
          <w:color w:val="auto"/>
          <w:sz w:val="24"/>
          <w:highlight w:val="none"/>
          <w:u w:val="single"/>
        </w:rPr>
        <w:t xml:space="preserve">  1050万元    </w:t>
      </w:r>
    </w:p>
    <w:p>
      <w:pPr>
        <w:shd w:val="clear" w:fill="FFFFFF" w:themeFill="background1"/>
        <w:spacing w:line="440" w:lineRule="exact"/>
        <w:ind w:firstLine="480" w:firstLineChars="200"/>
        <w:outlineLvl w:val="2"/>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2.7 其他：</w:t>
      </w:r>
      <w:r>
        <w:rPr>
          <w:rFonts w:hint="eastAsia" w:ascii="宋体" w:hAnsi="宋体" w:eastAsia="宋体" w:cs="宋体"/>
          <w:bCs/>
          <w:color w:val="auto"/>
          <w:sz w:val="24"/>
          <w:highlight w:val="none"/>
          <w:u w:val="single"/>
        </w:rPr>
        <w:t xml:space="preserve">    /   </w:t>
      </w:r>
    </w:p>
    <w:p>
      <w:pPr>
        <w:shd w:val="clear" w:fill="FFFFFF" w:themeFill="background1"/>
        <w:spacing w:line="440" w:lineRule="exact"/>
        <w:outlineLvl w:val="1"/>
        <w:rPr>
          <w:rFonts w:hint="eastAsia" w:ascii="宋体" w:hAnsi="宋体" w:eastAsia="宋体" w:cs="宋体"/>
          <w:b/>
          <w:bCs/>
          <w:color w:val="auto"/>
          <w:sz w:val="24"/>
          <w:szCs w:val="24"/>
          <w:highlight w:val="none"/>
        </w:rPr>
      </w:pPr>
      <w:bookmarkStart w:id="16" w:name="_Toc355604667"/>
      <w:r>
        <w:rPr>
          <w:rFonts w:hint="eastAsia" w:ascii="宋体" w:hAnsi="宋体" w:eastAsia="宋体" w:cs="宋体"/>
          <w:b/>
          <w:bCs/>
          <w:color w:val="auto"/>
          <w:sz w:val="24"/>
          <w:szCs w:val="24"/>
          <w:highlight w:val="none"/>
        </w:rPr>
        <w:t>3.投标人资格要求</w:t>
      </w:r>
      <w:bookmarkEnd w:id="16"/>
    </w:p>
    <w:p>
      <w:pPr>
        <w:pStyle w:val="15"/>
        <w:widowControl/>
        <w:shd w:val="clear" w:fill="FFFFFF" w:themeFill="background1"/>
        <w:adjustRightInd w:val="0"/>
        <w:snapToGrid w:val="0"/>
        <w:spacing w:before="0" w:beforeAutospacing="0" w:after="0" w:line="420" w:lineRule="atLeast"/>
        <w:ind w:firstLine="482"/>
        <w:jc w:val="both"/>
        <w:rPr>
          <w:rFonts w:hint="eastAsia" w:ascii="宋体" w:hAnsi="宋体" w:eastAsia="宋体" w:cs="宋体"/>
          <w:bCs/>
          <w:color w:val="auto"/>
          <w:highlight w:val="none"/>
        </w:rPr>
      </w:pPr>
      <w:r>
        <w:rPr>
          <w:rFonts w:hint="eastAsia" w:ascii="宋体" w:hAnsi="宋体" w:eastAsia="宋体" w:cs="宋体"/>
          <w:bCs/>
          <w:color w:val="auto"/>
          <w:kern w:val="2"/>
          <w:szCs w:val="21"/>
          <w:highlight w:val="none"/>
        </w:rPr>
        <w:t>3.1本次招标要求投标人须具备独立法人资格，具有</w:t>
      </w:r>
      <w:r>
        <w:rPr>
          <w:rFonts w:hint="eastAsia" w:ascii="宋体" w:hAnsi="宋体" w:eastAsia="宋体" w:cs="宋体"/>
          <w:b/>
          <w:color w:val="auto"/>
          <w:kern w:val="2"/>
          <w:szCs w:val="21"/>
          <w:highlight w:val="none"/>
          <w:u w:val="single"/>
        </w:rPr>
        <w:t>建筑工程施工总承包三级及以上</w:t>
      </w:r>
      <w:r>
        <w:rPr>
          <w:rFonts w:hint="eastAsia" w:ascii="宋体" w:hAnsi="宋体" w:eastAsia="宋体" w:cs="宋体"/>
          <w:bCs/>
          <w:color w:val="auto"/>
          <w:kern w:val="2"/>
          <w:szCs w:val="21"/>
          <w:highlight w:val="none"/>
        </w:rPr>
        <w:t>资质</w:t>
      </w:r>
      <w:r>
        <w:rPr>
          <w:rFonts w:hint="eastAsia" w:ascii="宋体" w:hAnsi="宋体" w:eastAsia="宋体" w:cs="宋体"/>
          <w:bCs/>
          <w:color w:val="auto"/>
          <w:highlight w:val="none"/>
        </w:rPr>
        <w:t>，并在人员、设备、资金等方面具有相应的施工能力。</w:t>
      </w:r>
    </w:p>
    <w:p>
      <w:pPr>
        <w:spacing w:line="440" w:lineRule="exact"/>
        <w:ind w:firstLine="480" w:firstLineChars="200"/>
        <w:outlineLvl w:val="2"/>
        <w:rPr>
          <w:rFonts w:hint="eastAsia" w:ascii="宋体" w:hAnsi="宋体" w:eastAsia="宋体" w:cs="宋体"/>
          <w:bCs/>
          <w:color w:val="auto"/>
          <w:highlight w:val="none"/>
        </w:rPr>
      </w:pPr>
      <w:r>
        <w:rPr>
          <w:rFonts w:hint="eastAsia" w:ascii="宋体" w:hAnsi="宋体" w:eastAsia="宋体" w:cs="宋体"/>
          <w:bCs/>
          <w:color w:val="auto"/>
          <w:sz w:val="24"/>
          <w:highlight w:val="none"/>
        </w:rPr>
        <w:t>3.2 项目经理资格要求：具备</w:t>
      </w:r>
      <w:r>
        <w:rPr>
          <w:rFonts w:hint="eastAsia" w:ascii="宋体" w:hAnsi="宋体" w:eastAsia="宋体" w:cs="宋体"/>
          <w:b/>
          <w:color w:val="auto"/>
          <w:sz w:val="24"/>
          <w:highlight w:val="none"/>
          <w:u w:val="single"/>
        </w:rPr>
        <w:t>建筑工程专业二级及以上</w:t>
      </w:r>
      <w:r>
        <w:rPr>
          <w:rFonts w:hint="eastAsia" w:ascii="宋体" w:hAnsi="宋体" w:eastAsia="宋体" w:cs="宋体"/>
          <w:b/>
          <w:bCs/>
          <w:color w:val="auto"/>
          <w:sz w:val="24"/>
          <w:szCs w:val="24"/>
          <w:highlight w:val="none"/>
          <w:lang w:val="en-US" w:eastAsia="zh-CN"/>
        </w:rPr>
        <w:t>注册建造师执业资格、有效的安全生产考核合格证书（建安B证），</w:t>
      </w:r>
      <w:r>
        <w:rPr>
          <w:rFonts w:hint="eastAsia" w:ascii="宋体" w:hAnsi="宋体" w:eastAsia="宋体" w:cs="宋体"/>
          <w:bCs/>
          <w:color w:val="auto"/>
          <w:sz w:val="24"/>
        </w:rPr>
        <w:t>注册建造师执业资格、有效的安全生产考核合格证书（建安B证），</w:t>
      </w:r>
      <w:r>
        <w:rPr>
          <w:rFonts w:hint="eastAsia" w:ascii="宋体" w:hAnsi="宋体" w:eastAsia="宋体" w:cs="宋体"/>
          <w:bCs/>
          <w:color w:val="auto"/>
          <w:sz w:val="24"/>
          <w:lang w:eastAsia="zh-CN"/>
        </w:rPr>
        <w:t>且</w:t>
      </w:r>
      <w:r>
        <w:rPr>
          <w:rFonts w:hint="eastAsia" w:ascii="宋体" w:hAnsi="宋体" w:eastAsia="宋体" w:cs="宋体"/>
          <w:b/>
          <w:bCs/>
          <w:color w:val="auto"/>
          <w:sz w:val="24"/>
          <w:szCs w:val="24"/>
          <w:highlight w:val="none"/>
          <w:lang w:val="en-US" w:eastAsia="zh-CN"/>
        </w:rPr>
        <w:t>投标截止时间前未在其他项目上任职，或虽在其他项目上任职但本项目中标后能够从原任职撤离。</w:t>
      </w:r>
    </w:p>
    <w:p>
      <w:pPr>
        <w:shd w:val="clear" w:fill="FFFFFF" w:themeFill="background1"/>
        <w:spacing w:line="440" w:lineRule="exact"/>
        <w:ind w:firstLine="480" w:firstLineChars="200"/>
        <w:outlineLvl w:val="2"/>
        <w:rPr>
          <w:rFonts w:hint="eastAsia" w:ascii="宋体" w:hAnsi="宋体" w:eastAsia="宋体" w:cs="宋体"/>
          <w:color w:val="auto"/>
          <w:sz w:val="24"/>
          <w:highlight w:val="none"/>
          <w:u w:val="single"/>
        </w:rPr>
      </w:pPr>
      <w:r>
        <w:rPr>
          <w:rFonts w:hint="eastAsia" w:ascii="宋体" w:hAnsi="宋体" w:eastAsia="宋体" w:cs="宋体"/>
          <w:bCs/>
          <w:color w:val="auto"/>
          <w:sz w:val="24"/>
          <w:highlight w:val="none"/>
        </w:rPr>
        <w:t>3.3 类似业绩要求：</w:t>
      </w:r>
      <w:r>
        <w:rPr>
          <w:rFonts w:hint="eastAsia" w:ascii="宋体" w:hAnsi="宋体" w:eastAsia="宋体" w:cs="宋体"/>
          <w:color w:val="auto"/>
          <w:sz w:val="24"/>
          <w:highlight w:val="none"/>
          <w:u w:val="single"/>
        </w:rPr>
        <w:t>（1）投标人业绩要求：近三年（自公告发布之日起向前追溯三年，以竣工验收报告时间为准）至少承担过单项合同金额达到700万元及以上或面积1000㎡及以上类似工程业绩，有类似幕墙工程业绩。须提供中标通知书、施工合同、工程竣工验收报告（或竣工验收备案表）。</w:t>
      </w:r>
    </w:p>
    <w:p>
      <w:pPr>
        <w:shd w:val="clear" w:fill="FFFFFF" w:themeFill="background1"/>
        <w:spacing w:line="440" w:lineRule="exact"/>
        <w:ind w:firstLine="480" w:firstLineChars="200"/>
        <w:outlineLvl w:val="2"/>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u w:val="single"/>
        </w:rPr>
        <w:t>（2）项目经理业绩要求：近三年（自公告发布之日起向前追溯三年，以竣工验收报告时间为准）以项目经理身份至少承担过单项合同金额达到600万元及以上或面积800㎡及以上类似工程业绩，有类似幕墙工程业绩。须提供中标通知书、施工合同、工程竣工验收报告（或竣工验收备案表）。</w:t>
      </w:r>
    </w:p>
    <w:p>
      <w:pPr>
        <w:shd w:val="clear" w:fill="FFFFFF" w:themeFill="background1"/>
        <w:spacing w:line="440" w:lineRule="exact"/>
        <w:ind w:firstLine="480" w:firstLineChars="200"/>
        <w:outlineLvl w:val="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3.4本次招标</w:t>
      </w:r>
      <w:r>
        <w:rPr>
          <w:rFonts w:hint="eastAsia" w:ascii="宋体" w:hAnsi="宋体" w:eastAsia="宋体" w:cs="宋体"/>
          <w:bCs/>
          <w:color w:val="auto"/>
          <w:sz w:val="24"/>
          <w:highlight w:val="none"/>
          <w:u w:val="single"/>
        </w:rPr>
        <w:t xml:space="preserve">   不接受    </w:t>
      </w:r>
      <w:r>
        <w:rPr>
          <w:rFonts w:hint="eastAsia" w:ascii="宋体" w:hAnsi="宋体" w:eastAsia="宋体" w:cs="宋体"/>
          <w:bCs/>
          <w:color w:val="auto"/>
          <w:sz w:val="24"/>
          <w:highlight w:val="none"/>
        </w:rPr>
        <w:t xml:space="preserve">联合体投标。 </w:t>
      </w:r>
    </w:p>
    <w:p>
      <w:pPr>
        <w:shd w:val="clear" w:fill="FFFFFF" w:themeFill="background1"/>
        <w:spacing w:line="440" w:lineRule="exact"/>
        <w:ind w:firstLine="480" w:firstLineChars="200"/>
        <w:outlineLvl w:val="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3.5各投标人均可就本招标项目上述标段中的</w:t>
      </w:r>
      <w:r>
        <w:rPr>
          <w:rFonts w:hint="eastAsia" w:ascii="宋体" w:hAnsi="宋体" w:eastAsia="宋体" w:cs="宋体"/>
          <w:bCs/>
          <w:color w:val="auto"/>
          <w:sz w:val="24"/>
          <w:highlight w:val="none"/>
          <w:u w:val="single"/>
        </w:rPr>
        <w:t xml:space="preserve">   /   </w:t>
      </w:r>
      <w:r>
        <w:rPr>
          <w:rFonts w:hint="eastAsia" w:ascii="宋体" w:hAnsi="宋体" w:eastAsia="宋体" w:cs="宋体"/>
          <w:bCs/>
          <w:color w:val="auto"/>
          <w:sz w:val="24"/>
          <w:highlight w:val="none"/>
        </w:rPr>
        <w:t>个标段投标，但最多允许中标</w:t>
      </w:r>
      <w:r>
        <w:rPr>
          <w:rFonts w:hint="eastAsia" w:ascii="宋体" w:hAnsi="宋体" w:eastAsia="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eastAsia="宋体" w:cs="宋体"/>
          <w:bCs/>
          <w:color w:val="auto"/>
          <w:sz w:val="24"/>
          <w:highlight w:val="none"/>
        </w:rPr>
        <w:t>个标段。</w:t>
      </w:r>
    </w:p>
    <w:p>
      <w:pPr>
        <w:shd w:val="clear" w:fill="FFFFFF" w:themeFill="background1"/>
        <w:adjustRightInd w:val="0"/>
        <w:snapToGrid w:val="0"/>
        <w:spacing w:line="440" w:lineRule="exact"/>
        <w:ind w:firstLine="480" w:firstLineChars="200"/>
        <w:outlineLvl w:val="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3.6本次招标实行资格后审，资格审查的具体要求见招标文件。资格后审不合格的投标文件将被评标委员会否决。</w:t>
      </w:r>
    </w:p>
    <w:p>
      <w:pPr>
        <w:shd w:val="clear" w:fill="FFFFFF" w:themeFill="background1"/>
        <w:adjustRightInd w:val="0"/>
        <w:snapToGrid w:val="0"/>
        <w:spacing w:line="440" w:lineRule="exact"/>
        <w:outlineLvl w:val="1"/>
        <w:rPr>
          <w:rFonts w:hint="eastAsia" w:ascii="宋体" w:hAnsi="宋体" w:eastAsia="宋体" w:cs="宋体"/>
          <w:b/>
          <w:bCs/>
          <w:color w:val="auto"/>
          <w:sz w:val="24"/>
          <w:szCs w:val="24"/>
          <w:highlight w:val="none"/>
        </w:rPr>
      </w:pPr>
      <w:bookmarkStart w:id="17" w:name="_Toc355604668"/>
      <w:r>
        <w:rPr>
          <w:rFonts w:hint="eastAsia" w:ascii="宋体" w:hAnsi="宋体" w:eastAsia="宋体" w:cs="宋体"/>
          <w:b/>
          <w:bCs/>
          <w:color w:val="auto"/>
          <w:sz w:val="24"/>
          <w:szCs w:val="24"/>
          <w:highlight w:val="none"/>
        </w:rPr>
        <w:t>4.招标文件的获取</w:t>
      </w:r>
      <w:bookmarkEnd w:id="17"/>
    </w:p>
    <w:p>
      <w:pPr>
        <w:pStyle w:val="15"/>
        <w:widowControl/>
        <w:shd w:val="clear" w:fill="FFFFFF" w:themeFill="background1"/>
        <w:adjustRightInd w:val="0"/>
        <w:snapToGrid w:val="0"/>
        <w:spacing w:before="0" w:beforeAutospacing="0" w:after="0" w:line="420" w:lineRule="atLeast"/>
        <w:ind w:firstLine="482"/>
        <w:jc w:val="both"/>
        <w:rPr>
          <w:rFonts w:hint="eastAsia" w:ascii="宋体" w:hAnsi="宋体" w:eastAsia="宋体" w:cs="宋体"/>
          <w:bCs/>
          <w:color w:val="auto"/>
          <w:sz w:val="21"/>
          <w:szCs w:val="21"/>
          <w:highlight w:val="none"/>
        </w:rPr>
      </w:pPr>
      <w:bookmarkStart w:id="18" w:name="_Toc355604669"/>
      <w:r>
        <w:rPr>
          <w:rFonts w:hint="eastAsia" w:ascii="宋体" w:hAnsi="宋体" w:eastAsia="宋体" w:cs="宋体"/>
          <w:bCs/>
          <w:color w:val="auto"/>
          <w:highlight w:val="none"/>
          <w:shd w:val="clear" w:color="auto" w:fill="FFFFFF"/>
        </w:rPr>
        <w:t>4.1凡有意参加投标者，可在阜阳市公共资源交易网（http://jyzx.fy.gov.cn）网站下载招标文件。</w:t>
      </w:r>
    </w:p>
    <w:p>
      <w:pPr>
        <w:pStyle w:val="15"/>
        <w:widowControl/>
        <w:shd w:val="clear" w:fill="FFFFFF" w:themeFill="background1"/>
        <w:adjustRightInd w:val="0"/>
        <w:snapToGrid w:val="0"/>
        <w:spacing w:before="0" w:beforeAutospacing="0" w:after="0" w:line="420" w:lineRule="atLeast"/>
        <w:ind w:firstLine="482"/>
        <w:jc w:val="both"/>
        <w:rPr>
          <w:rFonts w:hint="eastAsia" w:ascii="宋体" w:hAnsi="宋体" w:eastAsia="宋体" w:cs="宋体"/>
          <w:color w:val="auto"/>
          <w:sz w:val="21"/>
          <w:szCs w:val="21"/>
          <w:highlight w:val="none"/>
        </w:rPr>
      </w:pPr>
      <w:r>
        <w:rPr>
          <w:rFonts w:hint="eastAsia" w:ascii="宋体" w:hAnsi="宋体" w:eastAsia="宋体" w:cs="宋体"/>
          <w:bCs/>
          <w:color w:val="auto"/>
          <w:highlight w:val="none"/>
          <w:shd w:val="clear" w:color="auto" w:fill="FFFFFF"/>
        </w:rPr>
        <w:t>4.2 招标文件费用：招标文件发售费 500元；招标文件发售费须投标截止时间前从投标人基本账户转入</w:t>
      </w:r>
      <w:r>
        <w:rPr>
          <w:rFonts w:hint="eastAsia" w:ascii="宋体" w:hAnsi="宋体" w:eastAsia="宋体" w:cs="宋体"/>
          <w:bCs/>
          <w:color w:val="auto"/>
          <w:highlight w:val="none"/>
          <w:u w:val="single"/>
          <w:shd w:val="clear" w:color="auto" w:fill="FFFFFF"/>
        </w:rPr>
        <w:t>阜阳市公共资源交易中心投标保证金专户</w:t>
      </w:r>
      <w:r>
        <w:rPr>
          <w:rFonts w:hint="eastAsia" w:ascii="宋体" w:hAnsi="宋体" w:eastAsia="宋体" w:cs="宋体"/>
          <w:bCs/>
          <w:color w:val="auto"/>
          <w:highlight w:val="none"/>
          <w:shd w:val="clear" w:color="auto" w:fill="FFFFFF"/>
        </w:rPr>
        <w:t>，招标文件发售费付款人的帐户名称必须与投标人名称一致，不接受汇票及现金，以资金到账时间为确认招标文件发售费交纳完毕时间。开标完毕后各投标单位到交易中心窗口领取票据。交纳招标文件发售费时须在交易附言中注明：</w:t>
      </w:r>
      <w:r>
        <w:rPr>
          <w:rFonts w:hint="eastAsia" w:ascii="宋体" w:hAnsi="宋体" w:eastAsia="宋体" w:cs="宋体"/>
          <w:bCs/>
          <w:color w:val="auto"/>
          <w:highlight w:val="none"/>
          <w:u w:val="single"/>
          <w:shd w:val="clear" w:color="auto" w:fill="FFFFFF"/>
        </w:rPr>
        <w:t>“招标文件发售费”。</w:t>
      </w:r>
      <w:r>
        <w:rPr>
          <w:rFonts w:hint="eastAsia" w:ascii="宋体" w:hAnsi="宋体" w:eastAsia="宋体" w:cs="宋体"/>
          <w:bCs/>
          <w:color w:val="auto"/>
          <w:highlight w:val="none"/>
          <w:shd w:val="clear" w:color="auto" w:fill="FFFFFF"/>
        </w:rPr>
        <w:t>投标人在递交投标文件时并提交招标文件发售费转账凭证。投标单位请严格按照招标文件载明的银行、账户汇入招标文件发售费，否则在开标时将无法查询招标文件发售费是否到账，导致投标文件被拒收！</w:t>
      </w:r>
    </w:p>
    <w:p>
      <w:pPr>
        <w:pStyle w:val="15"/>
        <w:widowControl/>
        <w:shd w:val="clear" w:fill="FFFFFF" w:themeFill="background1"/>
        <w:adjustRightInd w:val="0"/>
        <w:snapToGrid w:val="0"/>
        <w:spacing w:before="0" w:beforeAutospacing="0" w:after="0" w:line="420" w:lineRule="atLeast"/>
        <w:ind w:firstLine="482"/>
        <w:jc w:val="both"/>
        <w:rPr>
          <w:rFonts w:hint="eastAsia" w:ascii="宋体" w:hAnsi="宋体" w:eastAsia="宋体" w:cs="宋体"/>
          <w:color w:val="auto"/>
          <w:sz w:val="21"/>
          <w:szCs w:val="21"/>
          <w:highlight w:val="none"/>
        </w:rPr>
      </w:pPr>
      <w:r>
        <w:rPr>
          <w:rFonts w:hint="eastAsia" w:ascii="宋体" w:hAnsi="宋体" w:eastAsia="宋体" w:cs="宋体"/>
          <w:b/>
          <w:color w:val="auto"/>
          <w:highlight w:val="none"/>
          <w:shd w:val="clear" w:color="auto" w:fill="FFFFFF"/>
        </w:rPr>
        <w:t>特别注意：投标单位缴纳招标文件发售费要选择与转入投标保证金的同一个开户行和账户转入，同时投标保证金与招标文件发售费须分别转入你所选择的账户。 </w:t>
      </w:r>
    </w:p>
    <w:p>
      <w:pPr>
        <w:shd w:val="clear" w:fill="FFFFFF" w:themeFill="background1"/>
        <w:spacing w:line="440" w:lineRule="exac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5.投标文件的递交</w:t>
      </w:r>
      <w:bookmarkEnd w:id="18"/>
    </w:p>
    <w:p>
      <w:pPr>
        <w:pStyle w:val="15"/>
        <w:widowControl/>
        <w:shd w:val="clear" w:fill="FFFFFF" w:themeFill="background1"/>
        <w:adjustRightInd w:val="0"/>
        <w:snapToGrid w:val="0"/>
        <w:spacing w:before="0" w:beforeAutospacing="0" w:after="0" w:line="360" w:lineRule="auto"/>
        <w:ind w:left="420" w:leftChars="200" w:right="-178" w:firstLine="60" w:firstLineChars="25"/>
        <w:jc w:val="both"/>
        <w:rPr>
          <w:rFonts w:hint="eastAsia" w:ascii="宋体" w:hAnsi="宋体" w:eastAsia="宋体" w:cs="宋体"/>
          <w:bCs/>
          <w:color w:val="auto"/>
          <w:highlight w:val="none"/>
        </w:rPr>
      </w:pPr>
      <w:r>
        <w:rPr>
          <w:rFonts w:hint="eastAsia" w:ascii="宋体" w:hAnsi="宋体" w:eastAsia="宋体" w:cs="宋体"/>
          <w:bCs/>
          <w:color w:val="auto"/>
          <w:highlight w:val="none"/>
        </w:rPr>
        <w:t>5.1 投标文件递交的截止时间（投标截止时间）为</w:t>
      </w:r>
      <w:r>
        <w:rPr>
          <w:rFonts w:hint="eastAsia" w:ascii="宋体" w:hAnsi="宋体" w:eastAsia="宋体" w:cs="宋体"/>
          <w:bCs/>
          <w:color w:val="auto"/>
          <w:highlight w:val="none"/>
          <w:u w:val="single"/>
        </w:rPr>
        <w:t>2018</w:t>
      </w:r>
      <w:r>
        <w:rPr>
          <w:rFonts w:hint="eastAsia" w:ascii="宋体" w:hAnsi="宋体" w:eastAsia="宋体" w:cs="宋体"/>
          <w:bCs/>
          <w:color w:val="auto"/>
          <w:highlight w:val="none"/>
        </w:rPr>
        <w:t>年</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u w:val="single"/>
          <w:lang w:val="en-US" w:eastAsia="zh-CN"/>
        </w:rPr>
        <w:t>6</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月</w:t>
      </w:r>
      <w:r>
        <w:rPr>
          <w:rFonts w:hint="eastAsia" w:ascii="宋体" w:hAnsi="宋体" w:eastAsia="宋体" w:cs="宋体"/>
          <w:bCs/>
          <w:color w:val="auto"/>
          <w:highlight w:val="none"/>
          <w:u w:val="single"/>
          <w:lang w:val="en-US" w:eastAsia="zh-CN"/>
        </w:rPr>
        <w:t>29</w:t>
      </w:r>
      <w:r>
        <w:rPr>
          <w:rFonts w:hint="eastAsia" w:ascii="宋体" w:hAnsi="宋体" w:eastAsia="宋体" w:cs="宋体"/>
          <w:bCs/>
          <w:color w:val="auto"/>
          <w:highlight w:val="none"/>
        </w:rPr>
        <w:t>日</w:t>
      </w:r>
      <w:r>
        <w:rPr>
          <w:rFonts w:hint="eastAsia" w:ascii="宋体" w:hAnsi="宋体" w:eastAsia="宋体" w:cs="宋体"/>
          <w:bCs/>
          <w:color w:val="auto"/>
          <w:highlight w:val="none"/>
          <w:u w:val="single"/>
          <w:lang w:val="en-US" w:eastAsia="zh-CN"/>
        </w:rPr>
        <w:t>09</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时</w:t>
      </w:r>
      <w:r>
        <w:rPr>
          <w:rFonts w:hint="eastAsia" w:ascii="宋体" w:hAnsi="宋体" w:eastAsia="宋体" w:cs="宋体"/>
          <w:bCs/>
          <w:color w:val="auto"/>
          <w:highlight w:val="none"/>
          <w:u w:val="single"/>
          <w:lang w:val="en-US" w:eastAsia="zh-CN"/>
        </w:rPr>
        <w:t>00</w:t>
      </w:r>
      <w:r>
        <w:rPr>
          <w:rFonts w:hint="eastAsia" w:ascii="宋体" w:hAnsi="宋体" w:eastAsia="宋体" w:cs="宋体"/>
          <w:bCs/>
          <w:color w:val="auto"/>
          <w:highlight w:val="none"/>
        </w:rPr>
        <w:t>分，地点为阜阳市公共资源交易中心</w:t>
      </w:r>
      <w:r>
        <w:rPr>
          <w:rFonts w:hint="eastAsia" w:ascii="宋体" w:hAnsi="宋体" w:eastAsia="宋体" w:cs="宋体"/>
          <w:bCs/>
          <w:color w:val="auto"/>
          <w:highlight w:val="none"/>
          <w:u w:val="single"/>
          <w:lang w:val="en-US" w:eastAsia="zh-CN"/>
        </w:rPr>
        <w:t>542</w:t>
      </w:r>
      <w:r>
        <w:rPr>
          <w:rFonts w:hint="eastAsia" w:ascii="宋体" w:hAnsi="宋体" w:eastAsia="宋体" w:cs="宋体"/>
          <w:bCs/>
          <w:color w:val="auto"/>
          <w:highlight w:val="none"/>
        </w:rPr>
        <w:t>开标室。（地址：城南新区三清路（新三中斜对面）阜阳市民中心五楼）</w:t>
      </w:r>
    </w:p>
    <w:p>
      <w:pPr>
        <w:shd w:val="clear" w:fill="FFFFFF" w:themeFill="background1"/>
        <w:spacing w:line="440" w:lineRule="exact"/>
        <w:ind w:firstLine="480" w:firstLineChars="200"/>
        <w:outlineLvl w:val="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5.2投标文件递交时间:投标截止时间前1小时内。</w:t>
      </w:r>
    </w:p>
    <w:p>
      <w:pPr>
        <w:shd w:val="clear" w:fill="FFFFFF" w:themeFill="background1"/>
        <w:spacing w:line="440" w:lineRule="exact"/>
        <w:ind w:firstLine="480" w:firstLineChars="200"/>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5.3逾期送达的或者未送达指定地点、未按招标文件密封的投标文件，招标人不予接收。</w:t>
      </w:r>
      <w:bookmarkStart w:id="19" w:name="_Toc246996906"/>
      <w:bookmarkStart w:id="20" w:name="_Toc246996163"/>
      <w:bookmarkStart w:id="21" w:name="_Toc247085677"/>
      <w:bookmarkStart w:id="22" w:name="_Toc296602407"/>
      <w:bookmarkStart w:id="23" w:name="_Toc179632533"/>
      <w:bookmarkStart w:id="24" w:name="_Toc157499355"/>
    </w:p>
    <w:bookmarkEnd w:id="19"/>
    <w:bookmarkEnd w:id="20"/>
    <w:bookmarkEnd w:id="21"/>
    <w:bookmarkEnd w:id="22"/>
    <w:bookmarkEnd w:id="23"/>
    <w:bookmarkEnd w:id="24"/>
    <w:p>
      <w:pPr>
        <w:shd w:val="clear" w:fill="FFFFFF" w:themeFill="background1"/>
        <w:spacing w:line="440" w:lineRule="exact"/>
        <w:outlineLvl w:val="1"/>
        <w:rPr>
          <w:rFonts w:hint="eastAsia" w:ascii="宋体" w:hAnsi="宋体" w:eastAsia="宋体" w:cs="宋体"/>
          <w:b/>
          <w:bCs/>
          <w:color w:val="auto"/>
          <w:sz w:val="24"/>
          <w:szCs w:val="24"/>
          <w:highlight w:val="none"/>
        </w:rPr>
      </w:pPr>
      <w:bookmarkStart w:id="25" w:name="_Toc355604670"/>
      <w:r>
        <w:rPr>
          <w:rFonts w:hint="eastAsia" w:ascii="宋体" w:hAnsi="宋体" w:eastAsia="宋体" w:cs="宋体"/>
          <w:b/>
          <w:bCs/>
          <w:color w:val="auto"/>
          <w:sz w:val="24"/>
          <w:szCs w:val="24"/>
          <w:highlight w:val="none"/>
        </w:rPr>
        <w:t>6.发布公告的媒介</w:t>
      </w:r>
      <w:bookmarkEnd w:id="25"/>
    </w:p>
    <w:p>
      <w:pPr>
        <w:shd w:val="clear" w:fill="FFFFFF" w:themeFill="background1"/>
        <w:spacing w:line="440" w:lineRule="exact"/>
        <w:ind w:firstLine="480" w:firstLineChars="200"/>
        <w:jc w:val="left"/>
        <w:rPr>
          <w:rFonts w:hint="eastAsia" w:ascii="宋体" w:hAnsi="宋体" w:eastAsia="宋体" w:cs="宋体"/>
          <w:bCs/>
          <w:color w:val="auto"/>
          <w:sz w:val="24"/>
          <w:highlight w:val="none"/>
        </w:rPr>
      </w:pPr>
      <w:bookmarkStart w:id="26" w:name="_Toc247085678"/>
      <w:bookmarkStart w:id="27" w:name="_Toc246996907"/>
      <w:bookmarkStart w:id="28" w:name="_Toc144974485"/>
      <w:bookmarkStart w:id="29" w:name="_Toc179632534"/>
      <w:bookmarkStart w:id="30" w:name="_Toc152042293"/>
      <w:bookmarkStart w:id="31" w:name="_Toc296602408"/>
      <w:bookmarkStart w:id="32" w:name="_Toc152045517"/>
      <w:bookmarkStart w:id="33" w:name="_Toc246996164"/>
      <w:r>
        <w:rPr>
          <w:rFonts w:hint="eastAsia" w:ascii="宋体" w:hAnsi="宋体" w:eastAsia="宋体" w:cs="宋体"/>
          <w:bCs/>
          <w:color w:val="auto"/>
          <w:sz w:val="24"/>
          <w:highlight w:val="none"/>
        </w:rPr>
        <w:t>本次招标公告同时在以下网站发布：</w:t>
      </w:r>
    </w:p>
    <w:p>
      <w:pPr>
        <w:shd w:val="clear" w:fill="FFFFFF" w:themeFill="background1"/>
        <w:spacing w:line="440" w:lineRule="exact"/>
        <w:ind w:firstLine="480" w:firstLineChars="200"/>
        <w:jc w:val="left"/>
        <w:rPr>
          <w:rFonts w:hint="eastAsia" w:ascii="宋体" w:hAnsi="宋体" w:eastAsia="宋体" w:cs="宋体"/>
          <w:bCs/>
          <w:color w:val="auto"/>
          <w:sz w:val="24"/>
          <w:highlight w:val="none"/>
        </w:rPr>
      </w:pPr>
      <w:bookmarkStart w:id="34" w:name="_Toc355604671"/>
      <w:r>
        <w:rPr>
          <w:rFonts w:hint="eastAsia" w:ascii="宋体" w:hAnsi="宋体" w:eastAsia="宋体" w:cs="宋体"/>
          <w:bCs/>
          <w:color w:val="auto"/>
          <w:sz w:val="24"/>
          <w:highlight w:val="none"/>
        </w:rPr>
        <w:t xml:space="preserve">中国政府采购网http://www.ccgp.gov.cn </w:t>
      </w:r>
    </w:p>
    <w:p>
      <w:pPr>
        <w:shd w:val="clear" w:fill="FFFFFF" w:themeFill="background1"/>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安徽省政府采购网http://www.ahzfcg.gov.cn</w:t>
      </w:r>
    </w:p>
    <w:p>
      <w:pPr>
        <w:shd w:val="clear" w:fill="FFFFFF" w:themeFill="background1"/>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阜阳市公共资源交易网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"http://jyzx.fy.gov.cn" </w:instrText>
      </w:r>
      <w:r>
        <w:rPr>
          <w:rFonts w:hint="eastAsia" w:ascii="宋体" w:hAnsi="宋体" w:eastAsia="宋体" w:cs="宋体"/>
          <w:color w:val="auto"/>
          <w:highlight w:val="none"/>
        </w:rPr>
        <w:fldChar w:fldCharType="separate"/>
      </w:r>
      <w:r>
        <w:rPr>
          <w:rFonts w:hint="eastAsia" w:ascii="宋体" w:hAnsi="宋体" w:eastAsia="宋体" w:cs="宋体"/>
          <w:bCs/>
          <w:color w:val="auto"/>
          <w:sz w:val="24"/>
          <w:highlight w:val="none"/>
        </w:rPr>
        <w:t>http://jyzx.fy.gov.cn</w:t>
      </w:r>
      <w:r>
        <w:rPr>
          <w:rFonts w:hint="eastAsia" w:ascii="宋体" w:hAnsi="宋体" w:eastAsia="宋体" w:cs="宋体"/>
          <w:bCs/>
          <w:color w:val="auto"/>
          <w:sz w:val="24"/>
          <w:highlight w:val="none"/>
        </w:rPr>
        <w:fldChar w:fldCharType="end"/>
      </w:r>
    </w:p>
    <w:p>
      <w:pPr>
        <w:shd w:val="clear" w:fill="FFFFFF" w:themeFill="background1"/>
        <w:spacing w:line="440" w:lineRule="exact"/>
        <w:outlineLvl w:val="1"/>
        <w:rPr>
          <w:rFonts w:hint="eastAsia" w:ascii="宋体" w:hAnsi="宋体" w:eastAsia="宋体" w:cs="宋体"/>
          <w:bCs/>
          <w:color w:val="auto"/>
          <w:sz w:val="24"/>
          <w:highlight w:val="none"/>
        </w:rPr>
      </w:pPr>
      <w:r>
        <w:rPr>
          <w:rFonts w:hint="eastAsia" w:ascii="宋体" w:hAnsi="宋体" w:eastAsia="宋体" w:cs="宋体"/>
          <w:b/>
          <w:bCs/>
          <w:color w:val="auto"/>
          <w:sz w:val="24"/>
          <w:szCs w:val="24"/>
          <w:highlight w:val="none"/>
        </w:rPr>
        <w:t>7.联系方式</w:t>
      </w:r>
      <w:bookmarkEnd w:id="26"/>
      <w:bookmarkEnd w:id="27"/>
      <w:bookmarkEnd w:id="28"/>
      <w:bookmarkEnd w:id="29"/>
      <w:bookmarkEnd w:id="30"/>
      <w:bookmarkEnd w:id="31"/>
      <w:bookmarkEnd w:id="32"/>
      <w:bookmarkEnd w:id="33"/>
      <w:bookmarkEnd w:id="34"/>
    </w:p>
    <w:p>
      <w:pPr>
        <w:shd w:val="clear" w:fill="FFFFFF" w:themeFill="background1"/>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 购 人：阜阳师范学院</w:t>
      </w:r>
    </w:p>
    <w:p>
      <w:pPr>
        <w:shd w:val="clear" w:fill="FFFFFF" w:themeFill="background1"/>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地    址：阜阳市清河西路100号阜阳师范学院（西湖校区）</w:t>
      </w:r>
    </w:p>
    <w:p>
      <w:pPr>
        <w:shd w:val="clear" w:fill="FFFFFF" w:themeFill="background1"/>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 系 人：郭老师</w:t>
      </w:r>
    </w:p>
    <w:p>
      <w:pPr>
        <w:shd w:val="clear" w:fill="FFFFFF" w:themeFill="background1"/>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电    话：0558-2591037</w:t>
      </w:r>
    </w:p>
    <w:p>
      <w:pPr>
        <w:shd w:val="clear" w:fill="FFFFFF" w:themeFill="background1"/>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阜阳市政府采购中心及政府采购技术合作单位：</w:t>
      </w:r>
      <w:bookmarkStart w:id="471" w:name="_GoBack"/>
      <w:bookmarkEnd w:id="471"/>
      <w:r>
        <w:rPr>
          <w:rFonts w:hint="eastAsia" w:ascii="宋体" w:hAnsi="宋体" w:eastAsia="宋体" w:cs="宋体"/>
          <w:bCs/>
          <w:color w:val="auto"/>
          <w:sz w:val="24"/>
          <w:highlight w:val="none"/>
        </w:rPr>
        <w:t>安徽新天源建设咨询有限公司</w:t>
      </w:r>
    </w:p>
    <w:p>
      <w:pPr>
        <w:shd w:val="clear" w:fill="FFFFFF" w:themeFill="background1"/>
        <w:spacing w:line="440" w:lineRule="exact"/>
        <w:ind w:left="420" w:leftChars="200" w:firstLine="60" w:firstLineChars="25"/>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地    址：阜阳市颍州区阜王路588号（南二环与阜王路交叉口向南）金悦金融中心写字楼B栋11楼         </w:t>
      </w:r>
    </w:p>
    <w:p>
      <w:pPr>
        <w:shd w:val="clear" w:fill="FFFFFF" w:themeFill="background1"/>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联 系 人：李成兰    谢睿馨        </w:t>
      </w:r>
    </w:p>
    <w:p>
      <w:pPr>
        <w:shd w:val="clear" w:fill="FFFFFF" w:themeFill="background1"/>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电    话：13365580175  18712699538</w:t>
      </w:r>
    </w:p>
    <w:p>
      <w:pPr>
        <w:shd w:val="clear" w:fill="FFFFFF" w:themeFill="background1"/>
        <w:spacing w:line="44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电子邮箱：tydl88888@163.com   </w:t>
      </w:r>
    </w:p>
    <w:p>
      <w:pPr>
        <w:shd w:val="clear" w:fill="FFFFFF" w:themeFill="background1"/>
        <w:spacing w:line="440" w:lineRule="exact"/>
        <w:ind w:firstLine="562"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28"/>
          <w:szCs w:val="28"/>
          <w:highlight w:val="none"/>
        </w:rPr>
        <w:br w:type="page"/>
      </w:r>
      <w:bookmarkStart w:id="35" w:name="_Toc368985788"/>
      <w:bookmarkStart w:id="36" w:name="_Toc15126_WPSOffice_Level1"/>
      <w:r>
        <w:rPr>
          <w:rFonts w:hint="eastAsia" w:ascii="宋体" w:hAnsi="宋体" w:eastAsia="宋体" w:cs="宋体"/>
          <w:b/>
          <w:bCs/>
          <w:color w:val="auto"/>
          <w:sz w:val="32"/>
          <w:szCs w:val="32"/>
          <w:highlight w:val="none"/>
        </w:rPr>
        <w:t>第二章  投标人须知</w:t>
      </w:r>
      <w:bookmarkEnd w:id="13"/>
      <w:bookmarkEnd w:id="35"/>
      <w:bookmarkEnd w:id="36"/>
    </w:p>
    <w:p>
      <w:pPr>
        <w:shd w:val="clear" w:fill="FFFFFF" w:themeFill="background1"/>
        <w:jc w:val="center"/>
        <w:outlineLvl w:val="1"/>
        <w:rPr>
          <w:rFonts w:hint="eastAsia" w:ascii="宋体" w:hAnsi="宋体" w:eastAsia="宋体" w:cs="宋体"/>
          <w:b/>
          <w:bCs/>
          <w:color w:val="auto"/>
          <w:sz w:val="24"/>
          <w:highlight w:val="none"/>
        </w:rPr>
      </w:pPr>
      <w:bookmarkStart w:id="37" w:name="_Toc28026"/>
      <w:bookmarkStart w:id="38" w:name="_Toc13553"/>
      <w:r>
        <w:rPr>
          <w:rFonts w:hint="eastAsia" w:ascii="宋体" w:hAnsi="宋体" w:eastAsia="宋体" w:cs="宋体"/>
          <w:b/>
          <w:bCs/>
          <w:color w:val="auto"/>
          <w:sz w:val="24"/>
          <w:highlight w:val="none"/>
        </w:rPr>
        <w:t>投标人须知前附表</w:t>
      </w:r>
      <w:bookmarkEnd w:id="37"/>
      <w:bookmarkEnd w:id="38"/>
    </w:p>
    <w:tbl>
      <w:tblPr>
        <w:tblStyle w:val="31"/>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0"/>
        <w:gridCol w:w="1187"/>
        <w:gridCol w:w="474"/>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条款号</w:t>
            </w:r>
          </w:p>
        </w:tc>
        <w:tc>
          <w:tcPr>
            <w:tcW w:w="1701" w:type="dxa"/>
            <w:gridSpan w:val="3"/>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条  款  名  称</w:t>
            </w:r>
          </w:p>
        </w:tc>
        <w:tc>
          <w:tcPr>
            <w:tcW w:w="6378"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1.1.2</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招标人</w:t>
            </w:r>
          </w:p>
        </w:tc>
        <w:tc>
          <w:tcPr>
            <w:tcW w:w="6378" w:type="dxa"/>
            <w:vAlign w:val="center"/>
          </w:tcPr>
          <w:p>
            <w:pPr>
              <w:shd w:val="clear" w:fill="FFFFFF" w:themeFill="background1"/>
              <w:rPr>
                <w:rFonts w:hint="eastAsia" w:ascii="宋体" w:hAnsi="宋体" w:eastAsia="宋体" w:cs="宋体"/>
                <w:color w:val="auto"/>
                <w:highlight w:val="none"/>
                <w:u w:val="singl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阜阳师范学院</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阜阳市清河西路100号阜阳师范学院（西湖校区）</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联 系 人：</w:t>
            </w:r>
            <w:r>
              <w:rPr>
                <w:rFonts w:hint="eastAsia" w:ascii="宋体" w:hAnsi="宋体" w:eastAsia="宋体" w:cs="宋体"/>
                <w:color w:val="auto"/>
                <w:highlight w:val="none"/>
                <w:u w:val="single"/>
              </w:rPr>
              <w:t xml:space="preserve">郭老师         </w:t>
            </w:r>
            <w:r>
              <w:rPr>
                <w:rFonts w:hint="eastAsia" w:ascii="宋体" w:hAnsi="宋体" w:eastAsia="宋体" w:cs="宋体"/>
                <w:color w:val="auto"/>
                <w:highlight w:val="none"/>
              </w:rPr>
              <w:t xml:space="preserve">    </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0558-2591037    </w:t>
            </w:r>
            <w:r>
              <w:rPr>
                <w:rFonts w:hint="eastAsia" w:ascii="宋体" w:hAnsi="宋体" w:eastAsia="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1.1.3</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bCs/>
                <w:color w:val="auto"/>
                <w:sz w:val="24"/>
                <w:highlight w:val="none"/>
              </w:rPr>
              <w:t>阜阳市政府采购中心及政府采购技术合作单位</w:t>
            </w:r>
          </w:p>
        </w:tc>
        <w:tc>
          <w:tcPr>
            <w:tcW w:w="6378" w:type="dxa"/>
            <w:vAlign w:val="center"/>
          </w:tcPr>
          <w:p>
            <w:pPr>
              <w:shd w:val="clear" w:fill="FFFFFF" w:themeFill="background1"/>
              <w:rPr>
                <w:rFonts w:hint="eastAsia" w:ascii="宋体" w:hAnsi="宋体" w:eastAsia="宋体" w:cs="宋体"/>
                <w:bCs/>
                <w:color w:val="auto"/>
                <w:highlight w:val="none"/>
                <w:u w:val="single"/>
              </w:rPr>
            </w:pPr>
            <w:r>
              <w:rPr>
                <w:rFonts w:hint="eastAsia" w:ascii="宋体" w:hAnsi="宋体" w:eastAsia="宋体" w:cs="宋体"/>
                <w:color w:val="auto"/>
                <w:highlight w:val="none"/>
              </w:rPr>
              <w:t>名    称：</w:t>
            </w:r>
            <w:r>
              <w:rPr>
                <w:rFonts w:hint="eastAsia" w:ascii="宋体" w:hAnsi="宋体" w:eastAsia="宋体" w:cs="宋体"/>
                <w:bCs/>
                <w:color w:val="auto"/>
                <w:highlight w:val="none"/>
                <w:u w:val="single"/>
              </w:rPr>
              <w:t>安徽新天源建设咨询有限公司</w:t>
            </w:r>
          </w:p>
          <w:p>
            <w:pPr>
              <w:shd w:val="clear" w:fill="FFFFFF" w:themeFill="background1"/>
              <w:rPr>
                <w:rFonts w:hint="eastAsia" w:ascii="宋体" w:hAnsi="宋体" w:eastAsia="宋体" w:cs="宋体"/>
                <w:bCs/>
                <w:color w:val="auto"/>
                <w:highlight w:val="none"/>
              </w:rPr>
            </w:pPr>
            <w:r>
              <w:rPr>
                <w:rFonts w:hint="eastAsia" w:ascii="宋体" w:hAnsi="宋体" w:eastAsia="宋体" w:cs="宋体"/>
                <w:bCs/>
                <w:color w:val="auto"/>
                <w:highlight w:val="none"/>
              </w:rPr>
              <w:t>地    址：</w:t>
            </w:r>
            <w:r>
              <w:rPr>
                <w:rFonts w:hint="eastAsia" w:ascii="宋体" w:hAnsi="宋体" w:eastAsia="宋体" w:cs="宋体"/>
                <w:bCs/>
                <w:color w:val="auto"/>
                <w:highlight w:val="none"/>
                <w:u w:val="single"/>
              </w:rPr>
              <w:t xml:space="preserve">阜阳市颍州区阜王路588号（南二环与阜王路交叉口向南）金悦金融中心写字楼B栋11楼    </w:t>
            </w:r>
            <w:r>
              <w:rPr>
                <w:rFonts w:hint="eastAsia" w:ascii="宋体" w:hAnsi="宋体" w:eastAsia="宋体" w:cs="宋体"/>
                <w:bCs/>
                <w:color w:val="auto"/>
                <w:highlight w:val="none"/>
              </w:rPr>
              <w:t xml:space="preserve">     </w:t>
            </w:r>
          </w:p>
          <w:p>
            <w:pPr>
              <w:shd w:val="clear" w:fill="FFFFFF" w:themeFill="background1"/>
              <w:rPr>
                <w:rFonts w:hint="eastAsia" w:ascii="宋体" w:hAnsi="宋体" w:eastAsia="宋体" w:cs="宋体"/>
                <w:bCs/>
                <w:color w:val="auto"/>
                <w:highlight w:val="none"/>
              </w:rPr>
            </w:pPr>
            <w:r>
              <w:rPr>
                <w:rFonts w:hint="eastAsia" w:ascii="宋体" w:hAnsi="宋体" w:eastAsia="宋体" w:cs="宋体"/>
                <w:bCs/>
                <w:color w:val="auto"/>
                <w:highlight w:val="none"/>
              </w:rPr>
              <w:t>联 系 人：</w:t>
            </w:r>
            <w:r>
              <w:rPr>
                <w:rFonts w:hint="eastAsia" w:ascii="宋体" w:hAnsi="宋体" w:eastAsia="宋体" w:cs="宋体"/>
                <w:bCs/>
                <w:color w:val="auto"/>
                <w:highlight w:val="none"/>
                <w:u w:val="single"/>
              </w:rPr>
              <w:t xml:space="preserve">李成兰    谢睿馨     </w:t>
            </w:r>
            <w:r>
              <w:rPr>
                <w:rFonts w:hint="eastAsia" w:ascii="宋体" w:hAnsi="宋体" w:eastAsia="宋体" w:cs="宋体"/>
                <w:bCs/>
                <w:color w:val="auto"/>
                <w:highlight w:val="none"/>
              </w:rPr>
              <w:t xml:space="preserve">   </w:t>
            </w:r>
          </w:p>
          <w:p>
            <w:pPr>
              <w:shd w:val="clear" w:fill="FFFFFF" w:themeFill="background1"/>
              <w:rPr>
                <w:rFonts w:hint="eastAsia" w:ascii="宋体" w:hAnsi="宋体" w:eastAsia="宋体" w:cs="宋体"/>
                <w:bCs/>
                <w:color w:val="auto"/>
                <w:highlight w:val="none"/>
              </w:rPr>
            </w:pPr>
            <w:r>
              <w:rPr>
                <w:rFonts w:hint="eastAsia" w:ascii="宋体" w:hAnsi="宋体" w:eastAsia="宋体" w:cs="宋体"/>
                <w:bCs/>
                <w:color w:val="auto"/>
                <w:highlight w:val="none"/>
              </w:rPr>
              <w:t>电    话：</w:t>
            </w:r>
            <w:r>
              <w:rPr>
                <w:rFonts w:hint="eastAsia" w:ascii="宋体" w:hAnsi="宋体" w:eastAsia="宋体" w:cs="宋体"/>
                <w:bCs/>
                <w:color w:val="auto"/>
                <w:highlight w:val="none"/>
                <w:u w:val="single"/>
              </w:rPr>
              <w:t>13365580175  18712699538</w:t>
            </w:r>
          </w:p>
          <w:p>
            <w:pPr>
              <w:shd w:val="clear" w:fill="FFFFFF" w:themeFill="background1"/>
              <w:rPr>
                <w:rFonts w:hint="eastAsia" w:ascii="宋体" w:hAnsi="宋体" w:eastAsia="宋体" w:cs="宋体"/>
                <w:color w:val="auto"/>
                <w:highlight w:val="none"/>
              </w:rPr>
            </w:pPr>
            <w:r>
              <w:rPr>
                <w:rFonts w:hint="eastAsia" w:ascii="宋体" w:hAnsi="宋体" w:eastAsia="宋体" w:cs="宋体"/>
                <w:bCs/>
                <w:color w:val="auto"/>
                <w:highlight w:val="none"/>
              </w:rPr>
              <w:t>电子</w:t>
            </w:r>
            <w:r>
              <w:rPr>
                <w:rFonts w:hint="eastAsia" w:ascii="宋体" w:hAnsi="宋体" w:eastAsia="宋体" w:cs="宋体"/>
                <w:color w:val="auto"/>
                <w:highlight w:val="none"/>
              </w:rPr>
              <w:t>邮箱</w:t>
            </w:r>
            <w:r>
              <w:rPr>
                <w:rFonts w:hint="eastAsia" w:ascii="宋体" w:hAnsi="宋体" w:eastAsia="宋体" w:cs="宋体"/>
                <w:bCs/>
                <w:color w:val="auto"/>
                <w:highlight w:val="none"/>
              </w:rPr>
              <w:t>：</w:t>
            </w:r>
            <w:r>
              <w:rPr>
                <w:rFonts w:hint="eastAsia" w:ascii="宋体" w:hAnsi="宋体" w:eastAsia="宋体" w:cs="宋体"/>
                <w:bCs/>
                <w:color w:val="auto"/>
                <w:highlight w:val="none"/>
                <w:u w:val="single"/>
              </w:rPr>
              <w:t xml:space="preserve">tydl88888@163.com    </w:t>
            </w:r>
            <w:r>
              <w:rPr>
                <w:rFonts w:hint="eastAsia" w:ascii="宋体" w:hAnsi="宋体" w:eastAsia="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exac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1.1.4</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378" w:type="dxa"/>
            <w:vAlign w:val="center"/>
          </w:tcPr>
          <w:p>
            <w:pPr>
              <w:shd w:val="clear" w:fill="FFFFFF" w:themeFill="background1"/>
              <w:rPr>
                <w:rFonts w:hint="eastAsia" w:ascii="宋体" w:hAnsi="宋体" w:eastAsia="宋体" w:cs="宋体"/>
                <w:color w:val="auto"/>
                <w:highlight w:val="none"/>
                <w:u w:val="single"/>
              </w:rPr>
            </w:pPr>
            <w:r>
              <w:rPr>
                <w:rFonts w:hint="eastAsia" w:ascii="宋体" w:hAnsi="宋体" w:eastAsia="宋体" w:cs="宋体"/>
                <w:color w:val="auto"/>
                <w:highlight w:val="none"/>
                <w:u w:val="single"/>
              </w:rPr>
              <w:t>阜阳师范学院新校区南大门工程施工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exac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1.1.5</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建设地点</w:t>
            </w:r>
          </w:p>
        </w:tc>
        <w:tc>
          <w:tcPr>
            <w:tcW w:w="6378" w:type="dxa"/>
            <w:vAlign w:val="center"/>
          </w:tcPr>
          <w:p>
            <w:pPr>
              <w:shd w:val="clear" w:fill="FFFFFF" w:themeFill="background1"/>
              <w:rPr>
                <w:rFonts w:hint="eastAsia" w:ascii="宋体" w:hAnsi="宋体" w:eastAsia="宋体" w:cs="宋体"/>
                <w:color w:val="auto"/>
                <w:highlight w:val="none"/>
                <w:u w:val="single"/>
              </w:rPr>
            </w:pPr>
            <w:r>
              <w:rPr>
                <w:rFonts w:hint="eastAsia" w:ascii="宋体" w:hAnsi="宋体" w:eastAsia="宋体" w:cs="宋体"/>
                <w:color w:val="auto"/>
                <w:highlight w:val="none"/>
                <w:u w:val="single"/>
              </w:rPr>
              <w:t>阜阳市清河西路100号阜阳师范学院（西湖校区）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9" w:hRule="exac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1.2.1</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资金来源</w:t>
            </w:r>
          </w:p>
        </w:tc>
        <w:tc>
          <w:tcPr>
            <w:tcW w:w="6378" w:type="dxa"/>
            <w:vAlign w:val="center"/>
          </w:tcPr>
          <w:p>
            <w:pPr>
              <w:shd w:val="clear" w:fill="FFFFFF" w:themeFill="background1"/>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财政资金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1.2.2</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出资比例</w:t>
            </w:r>
          </w:p>
        </w:tc>
        <w:tc>
          <w:tcPr>
            <w:tcW w:w="6378" w:type="dxa"/>
            <w:vAlign w:val="center"/>
          </w:tcPr>
          <w:p>
            <w:pPr>
              <w:shd w:val="clear" w:fill="FFFFFF" w:themeFill="background1"/>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exac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1.2.3</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资金落实情况</w:t>
            </w:r>
          </w:p>
        </w:tc>
        <w:tc>
          <w:tcPr>
            <w:tcW w:w="6378" w:type="dxa"/>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已落实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1.3.1</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招标范围</w:t>
            </w:r>
          </w:p>
        </w:tc>
        <w:tc>
          <w:tcPr>
            <w:tcW w:w="6378" w:type="dxa"/>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u w:val="single"/>
              </w:rPr>
              <w:t>工程施工图纸、工程量清单及招标文件规定范围全部内容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1.3.2</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计划工期</w:t>
            </w:r>
          </w:p>
        </w:tc>
        <w:tc>
          <w:tcPr>
            <w:tcW w:w="6378" w:type="dxa"/>
            <w:vAlign w:val="center"/>
          </w:tcPr>
          <w:p>
            <w:pPr>
              <w:shd w:val="clear" w:fill="FFFFFF" w:themeFill="background1"/>
              <w:rPr>
                <w:rFonts w:hint="eastAsia" w:ascii="宋体" w:hAnsi="宋体" w:eastAsia="宋体" w:cs="宋体"/>
                <w:b/>
                <w:bCs/>
                <w:color w:val="auto"/>
                <w:highlight w:val="none"/>
              </w:rPr>
            </w:pPr>
            <w:r>
              <w:rPr>
                <w:rFonts w:hint="eastAsia" w:ascii="宋体" w:hAnsi="宋体" w:eastAsia="宋体" w:cs="宋体"/>
                <w:b/>
                <w:bCs/>
                <w:color w:val="auto"/>
                <w:highlight w:val="none"/>
              </w:rPr>
              <w:t>计划工期：</w:t>
            </w:r>
            <w:r>
              <w:rPr>
                <w:rFonts w:hint="eastAsia" w:ascii="宋体" w:hAnsi="宋体" w:eastAsia="宋体" w:cs="宋体"/>
                <w:b/>
                <w:bCs/>
                <w:color w:val="auto"/>
                <w:highlight w:val="none"/>
                <w:u w:val="single"/>
              </w:rPr>
              <w:t xml:space="preserve"> 180 </w:t>
            </w:r>
            <w:r>
              <w:rPr>
                <w:rFonts w:hint="eastAsia" w:ascii="宋体" w:hAnsi="宋体" w:eastAsia="宋体" w:cs="宋体"/>
                <w:b/>
                <w:bCs/>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1.3.3</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质量要求</w:t>
            </w:r>
          </w:p>
        </w:tc>
        <w:tc>
          <w:tcPr>
            <w:tcW w:w="6378" w:type="dxa"/>
            <w:vAlign w:val="center"/>
          </w:tcPr>
          <w:p>
            <w:pPr>
              <w:shd w:val="clear" w:fill="FFFFFF" w:themeFill="background1"/>
              <w:rPr>
                <w:rFonts w:hint="eastAsia" w:ascii="宋体" w:hAnsi="宋体" w:eastAsia="宋体" w:cs="宋体"/>
                <w:color w:val="auto"/>
                <w:highlight w:val="none"/>
                <w:u w:val="single"/>
              </w:rPr>
            </w:pPr>
            <w:r>
              <w:rPr>
                <w:rFonts w:hint="eastAsia" w:ascii="宋体" w:hAnsi="宋体" w:eastAsia="宋体" w:cs="宋体"/>
                <w:color w:val="auto"/>
                <w:highlight w:val="none"/>
              </w:rPr>
              <w:t>质量标准：合格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0"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1.4.1</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 xml:space="preserve">投标人资格要求 </w:t>
            </w:r>
          </w:p>
        </w:tc>
        <w:tc>
          <w:tcPr>
            <w:tcW w:w="6378" w:type="dxa"/>
            <w:vAlign w:val="center"/>
          </w:tcPr>
          <w:p>
            <w:pPr>
              <w:pStyle w:val="15"/>
              <w:widowControl/>
              <w:shd w:val="clear" w:fill="FFFFFF" w:themeFill="background1"/>
              <w:adjustRightInd w:val="0"/>
              <w:snapToGrid w:val="0"/>
              <w:spacing w:before="0" w:beforeAutospacing="0" w:after="0" w:line="420" w:lineRule="atLeast"/>
              <w:jc w:val="both"/>
              <w:rPr>
                <w:rFonts w:hint="eastAsia" w:ascii="宋体" w:hAnsi="宋体" w:eastAsia="宋体" w:cs="宋体"/>
                <w:bCs/>
                <w:color w:val="auto"/>
                <w:sz w:val="21"/>
                <w:szCs w:val="21"/>
                <w:highlight w:val="none"/>
              </w:rPr>
            </w:pPr>
            <w:r>
              <w:rPr>
                <w:rFonts w:hint="eastAsia" w:ascii="宋体" w:hAnsi="宋体" w:eastAsia="宋体" w:cs="宋体"/>
                <w:bCs/>
                <w:color w:val="auto"/>
                <w:kern w:val="2"/>
                <w:sz w:val="21"/>
                <w:szCs w:val="21"/>
                <w:highlight w:val="none"/>
              </w:rPr>
              <w:t>1.本次招标要求投标人须具备独立法人资格，具有</w:t>
            </w:r>
            <w:r>
              <w:rPr>
                <w:rFonts w:hint="eastAsia" w:ascii="宋体" w:hAnsi="宋体" w:eastAsia="宋体" w:cs="宋体"/>
                <w:b/>
                <w:color w:val="auto"/>
                <w:kern w:val="2"/>
                <w:sz w:val="21"/>
                <w:szCs w:val="21"/>
                <w:highlight w:val="none"/>
                <w:u w:val="single"/>
              </w:rPr>
              <w:t>建筑工程施工总承包三级及以上</w:t>
            </w:r>
            <w:r>
              <w:rPr>
                <w:rFonts w:hint="eastAsia" w:ascii="宋体" w:hAnsi="宋体" w:eastAsia="宋体" w:cs="宋体"/>
                <w:bCs/>
                <w:color w:val="auto"/>
                <w:kern w:val="2"/>
                <w:sz w:val="21"/>
                <w:szCs w:val="21"/>
                <w:highlight w:val="none"/>
              </w:rPr>
              <w:t>资质</w:t>
            </w:r>
            <w:r>
              <w:rPr>
                <w:rFonts w:hint="eastAsia" w:ascii="宋体" w:hAnsi="宋体" w:eastAsia="宋体" w:cs="宋体"/>
                <w:bCs/>
                <w:color w:val="auto"/>
                <w:sz w:val="21"/>
                <w:szCs w:val="21"/>
                <w:highlight w:val="none"/>
              </w:rPr>
              <w:t>，并在人员、设备、资金等方面具有相应的施工能力。</w:t>
            </w:r>
          </w:p>
          <w:p>
            <w:pPr>
              <w:shd w:val="clear" w:fill="FFFFFF" w:themeFill="background1"/>
              <w:spacing w:line="440" w:lineRule="exact"/>
              <w:outlineLvl w:val="2"/>
              <w:rPr>
                <w:rFonts w:hint="eastAsia" w:ascii="宋体" w:hAnsi="宋体" w:eastAsia="宋体" w:cs="宋体"/>
                <w:b/>
                <w:bCs/>
                <w:color w:val="auto"/>
                <w:sz w:val="21"/>
                <w:szCs w:val="21"/>
                <w:highlight w:val="none"/>
                <w:lang w:val="en-US" w:eastAsia="zh-CN"/>
              </w:rPr>
            </w:pPr>
            <w:r>
              <w:rPr>
                <w:rFonts w:hint="eastAsia" w:ascii="宋体" w:hAnsi="宋体" w:eastAsia="宋体" w:cs="宋体"/>
                <w:bCs/>
                <w:color w:val="auto"/>
                <w:highlight w:val="none"/>
              </w:rPr>
              <w:t>2. 项目经理资格要求：具备</w:t>
            </w:r>
            <w:r>
              <w:rPr>
                <w:rFonts w:hint="eastAsia" w:ascii="宋体" w:hAnsi="宋体" w:eastAsia="宋体" w:cs="宋体"/>
                <w:bCs/>
                <w:color w:val="auto"/>
                <w:highlight w:val="none"/>
                <w:u w:val="single"/>
              </w:rPr>
              <w:t xml:space="preserve">  </w:t>
            </w:r>
            <w:r>
              <w:rPr>
                <w:rFonts w:hint="eastAsia" w:ascii="宋体" w:hAnsi="宋体" w:eastAsia="宋体" w:cs="宋体"/>
                <w:b/>
                <w:color w:val="auto"/>
                <w:highlight w:val="none"/>
                <w:u w:val="single"/>
              </w:rPr>
              <w:t>建筑工程专业二级及以上</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注册建造师执业资格、有效的安全生产考</w:t>
            </w:r>
            <w:r>
              <w:rPr>
                <w:rFonts w:hint="eastAsia" w:ascii="宋体" w:hAnsi="宋体" w:eastAsia="宋体" w:cs="宋体"/>
                <w:bCs/>
                <w:color w:val="auto"/>
                <w:sz w:val="21"/>
                <w:szCs w:val="21"/>
                <w:highlight w:val="none"/>
              </w:rPr>
              <w:t>核合格证书（建安B证），</w:t>
            </w:r>
            <w:r>
              <w:rPr>
                <w:rFonts w:hint="eastAsia" w:ascii="宋体" w:hAnsi="宋体" w:eastAsia="宋体" w:cs="宋体"/>
                <w:bCs/>
                <w:color w:val="auto"/>
                <w:sz w:val="21"/>
                <w:szCs w:val="21"/>
                <w:highlight w:val="none"/>
                <w:lang w:eastAsia="zh-CN"/>
              </w:rPr>
              <w:t>且</w:t>
            </w:r>
            <w:r>
              <w:rPr>
                <w:rFonts w:hint="eastAsia" w:ascii="宋体" w:hAnsi="宋体" w:eastAsia="宋体" w:cs="宋体"/>
                <w:b/>
                <w:bCs/>
                <w:color w:val="auto"/>
                <w:sz w:val="21"/>
                <w:szCs w:val="21"/>
                <w:highlight w:val="none"/>
                <w:lang w:val="en-US" w:eastAsia="zh-CN"/>
              </w:rPr>
              <w:t>投标截止时间前未在其他项目上任职，或虽在其他项目上任职但本项目中标后能够从原任职撤离。</w:t>
            </w:r>
          </w:p>
          <w:p>
            <w:pPr>
              <w:shd w:val="clear" w:fill="FFFFFF" w:themeFill="background1"/>
              <w:spacing w:line="440" w:lineRule="exact"/>
              <w:outlineLvl w:val="2"/>
              <w:rPr>
                <w:rFonts w:hint="eastAsia" w:ascii="宋体" w:hAnsi="宋体" w:eastAsia="宋体" w:cs="宋体"/>
                <w:color w:val="auto"/>
                <w:highlight w:val="none"/>
                <w:u w:val="single"/>
              </w:rPr>
            </w:pPr>
            <w:r>
              <w:rPr>
                <w:rFonts w:hint="eastAsia" w:ascii="宋体" w:hAnsi="宋体" w:eastAsia="宋体" w:cs="宋体"/>
                <w:bCs/>
                <w:color w:val="auto"/>
                <w:highlight w:val="none"/>
              </w:rPr>
              <w:t>3.类似业绩要求：</w:t>
            </w:r>
            <w:r>
              <w:rPr>
                <w:rFonts w:hint="eastAsia" w:ascii="宋体" w:hAnsi="宋体" w:eastAsia="宋体" w:cs="宋体"/>
                <w:color w:val="auto"/>
                <w:highlight w:val="none"/>
                <w:u w:val="single"/>
              </w:rPr>
              <w:t>（1）投标人业绩要求：近三年（自公告发布之日起向前追溯三年，以竣工验收报告时间为准）至少承担过单项合同金额达到700万元及以上或面积1000㎡及以上类似工程业绩，有类似幕墙工程业绩。须提供中标通知书、施工合同、工程竣工验收报告（或竣工验收备案表）。</w:t>
            </w:r>
          </w:p>
          <w:p>
            <w:pPr>
              <w:shd w:val="clear" w:fill="FFFFFF" w:themeFill="background1"/>
              <w:spacing w:line="440" w:lineRule="exact"/>
              <w:outlineLvl w:val="2"/>
              <w:rPr>
                <w:rFonts w:hint="eastAsia" w:ascii="宋体" w:hAnsi="宋体" w:eastAsia="宋体" w:cs="宋体"/>
                <w:bCs/>
                <w:color w:val="auto"/>
                <w:kern w:val="0"/>
                <w:highlight w:val="none"/>
              </w:rPr>
            </w:pPr>
            <w:r>
              <w:rPr>
                <w:rFonts w:hint="eastAsia" w:ascii="宋体" w:hAnsi="宋体" w:eastAsia="宋体" w:cs="宋体"/>
                <w:color w:val="auto"/>
                <w:highlight w:val="none"/>
                <w:u w:val="single"/>
              </w:rPr>
              <w:t>（2）项目经理业绩要求：近三年（自公告发布之日起向前追溯三年，以竣工验收报告时间为准）以项目经理身份至少承担过单项合同金额达到600万元及以上或面积800㎡及以上类似工程业绩，有类似幕墙工程业绩。须提供中标通知书、施工合同、工程竣工验收报告（或竣工验收备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1.4.2</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p>
        </w:tc>
        <w:tc>
          <w:tcPr>
            <w:tcW w:w="6378" w:type="dxa"/>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■不接受</w:t>
            </w:r>
          </w:p>
          <w:p>
            <w:pPr>
              <w:shd w:val="clear" w:fill="FFFFFF" w:themeFill="background1"/>
              <w:rPr>
                <w:rFonts w:hint="eastAsia" w:ascii="宋体" w:hAnsi="宋体" w:eastAsia="宋体" w:cs="宋体"/>
                <w:color w:val="auto"/>
                <w:highlight w:val="none"/>
                <w:u w:val="single"/>
              </w:rPr>
            </w:pPr>
            <w:r>
              <w:rPr>
                <w:rFonts w:hint="eastAsia" w:ascii="宋体" w:hAnsi="宋体" w:eastAsia="宋体" w:cs="宋体"/>
                <w:color w:val="auto"/>
                <w:highlight w:val="none"/>
              </w:rPr>
              <w:t>□接受，应满足下列要求：</w:t>
            </w:r>
            <w:r>
              <w:rPr>
                <w:rFonts w:hint="eastAsia" w:ascii="宋体" w:hAnsi="宋体" w:eastAsia="宋体" w:cs="宋体"/>
                <w:color w:val="auto"/>
                <w:highlight w:val="none"/>
                <w:u w:val="single"/>
              </w:rPr>
              <w:t xml:space="preserve">                           </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联合体资质按照联合体协议分工认定。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费用承担</w:t>
            </w:r>
          </w:p>
        </w:tc>
        <w:tc>
          <w:tcPr>
            <w:tcW w:w="6378" w:type="dxa"/>
            <w:vAlign w:val="center"/>
          </w:tcPr>
          <w:p>
            <w:pPr>
              <w:shd w:val="clear" w:fill="FFFFFF" w:themeFill="background1"/>
              <w:adjustRightInd w:val="0"/>
              <w:snapToGrid w:val="0"/>
              <w:outlineLvl w:val="3"/>
              <w:rPr>
                <w:rFonts w:hint="eastAsia" w:ascii="宋体" w:hAnsi="宋体" w:eastAsia="宋体" w:cs="宋体"/>
                <w:color w:val="auto"/>
                <w:highlight w:val="none"/>
                <w:u w:val="single"/>
              </w:rPr>
            </w:pPr>
            <w:r>
              <w:rPr>
                <w:rFonts w:hint="eastAsia" w:ascii="宋体" w:hAnsi="宋体" w:eastAsia="宋体" w:cs="宋体"/>
                <w:color w:val="auto"/>
                <w:highlight w:val="none"/>
              </w:rPr>
              <w:t>1、招标代理服务费：</w:t>
            </w:r>
            <w:r>
              <w:rPr>
                <w:rFonts w:hint="eastAsia" w:ascii="宋体" w:hAnsi="宋体" w:eastAsia="宋体" w:cs="宋体"/>
                <w:bCs/>
                <w:color w:val="auto"/>
                <w:highlight w:val="none"/>
                <w:u w:val="single"/>
              </w:rPr>
              <w:t xml:space="preserve">4000元 </w:t>
            </w:r>
            <w:r>
              <w:rPr>
                <w:rFonts w:hint="eastAsia" w:ascii="宋体" w:hAnsi="宋体" w:eastAsia="宋体" w:cs="宋体"/>
                <w:bCs/>
                <w:color w:val="auto"/>
                <w:highlight w:val="none"/>
              </w:rPr>
              <w:t>。</w:t>
            </w:r>
          </w:p>
          <w:p>
            <w:pPr>
              <w:pStyle w:val="40"/>
              <w:shd w:val="clear" w:fill="FFFFFF" w:themeFill="background1"/>
              <w:adjustRightInd w:val="0"/>
              <w:snapToGrid w:val="0"/>
              <w:rPr>
                <w:rFonts w:hint="eastAsia" w:ascii="宋体" w:hAnsi="宋体" w:eastAsia="宋体" w:cs="宋体"/>
                <w:b/>
                <w:color w:val="auto"/>
                <w:kern w:val="2"/>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rPr>
              <w:t>、工程量清单、最高投标限价编制费：</w:t>
            </w:r>
            <w:r>
              <w:rPr>
                <w:rFonts w:hint="eastAsia" w:ascii="宋体" w:hAnsi="宋体" w:eastAsia="宋体" w:cs="宋体"/>
                <w:b/>
                <w:color w:val="auto"/>
                <w:kern w:val="2"/>
                <w:sz w:val="21"/>
                <w:szCs w:val="21"/>
                <w:highlight w:val="none"/>
              </w:rPr>
              <w:t>按皖价服【2007】086号文件规定的标准收费（100万以上含100万下浮20%，100万以内不下浮）</w:t>
            </w:r>
          </w:p>
          <w:p>
            <w:pPr>
              <w:pStyle w:val="40"/>
              <w:shd w:val="clear" w:fill="FFFFFF" w:themeFill="background1"/>
              <w:adjustRightInd w:val="0"/>
              <w:snapToGrid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3、以上费用，不单独列出，投标人自行考虑，包含在投标报价中。</w:t>
            </w:r>
          </w:p>
          <w:p>
            <w:pPr>
              <w:pStyle w:val="40"/>
              <w:shd w:val="clear" w:fill="FFFFFF" w:themeFill="background1"/>
              <w:adjustRightInd w:val="0"/>
              <w:snapToGrid w:val="0"/>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lang w:bidi="ar"/>
              </w:rPr>
              <w:t>4、以上费用</w:t>
            </w:r>
            <w:r>
              <w:rPr>
                <w:rFonts w:hint="eastAsia" w:ascii="宋体" w:hAnsi="宋体" w:eastAsia="宋体" w:cs="宋体"/>
                <w:color w:val="auto"/>
                <w:sz w:val="21"/>
                <w:szCs w:val="21"/>
                <w:highlight w:val="none"/>
              </w:rPr>
              <w:t>收取方式：</w:t>
            </w:r>
            <w:r>
              <w:rPr>
                <w:rFonts w:hint="eastAsia" w:ascii="宋体" w:hAnsi="宋体" w:eastAsia="宋体" w:cs="宋体"/>
                <w:b/>
                <w:bCs/>
                <w:color w:val="auto"/>
                <w:sz w:val="21"/>
                <w:szCs w:val="21"/>
                <w:highlight w:val="none"/>
                <w:lang w:bidi="ar"/>
              </w:rPr>
              <w:t>现金或转账，中标人在领取中标通知书时支付给相应单位。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1.9.1</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踏勘现场</w:t>
            </w:r>
          </w:p>
        </w:tc>
        <w:tc>
          <w:tcPr>
            <w:tcW w:w="6378" w:type="dxa"/>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■不组织      □组织，踏勘时间：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踏勘集中地点：</w:t>
            </w:r>
            <w:r>
              <w:rPr>
                <w:rFonts w:hint="eastAsia" w:ascii="宋体" w:hAnsi="宋体" w:eastAsia="宋体" w:cs="宋体"/>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1.10</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投标预备会</w:t>
            </w:r>
          </w:p>
        </w:tc>
        <w:tc>
          <w:tcPr>
            <w:tcW w:w="6378" w:type="dxa"/>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■不召开      □召开，召开时间：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召开地点：</w:t>
            </w:r>
            <w:r>
              <w:rPr>
                <w:rFonts w:hint="eastAsia" w:ascii="宋体" w:hAnsi="宋体" w:eastAsia="宋体" w:cs="宋体"/>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1.11</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分  包</w:t>
            </w:r>
          </w:p>
        </w:tc>
        <w:tc>
          <w:tcPr>
            <w:tcW w:w="6378" w:type="dxa"/>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■不允许      □允许，分包内容要求：</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分包金额要求：</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 xml:space="preserve">              接受分包的第三人资质要求：</w:t>
            </w:r>
            <w:r>
              <w:rPr>
                <w:rFonts w:hint="eastAsia" w:ascii="宋体" w:hAnsi="宋体" w:eastAsia="宋体" w:cs="宋体"/>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1.12</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偏  离</w:t>
            </w:r>
          </w:p>
        </w:tc>
        <w:tc>
          <w:tcPr>
            <w:tcW w:w="6378" w:type="dxa"/>
            <w:vAlign w:val="center"/>
          </w:tcPr>
          <w:p>
            <w:pPr>
              <w:shd w:val="clear" w:fill="FFFFFF" w:themeFill="background1"/>
              <w:rPr>
                <w:rFonts w:hint="eastAsia" w:ascii="宋体" w:hAnsi="宋体" w:eastAsia="宋体" w:cs="宋体"/>
                <w:color w:val="auto"/>
                <w:highlight w:val="none"/>
                <w:u w:val="single"/>
              </w:rPr>
            </w:pPr>
            <w:r>
              <w:rPr>
                <w:rFonts w:hint="eastAsia" w:ascii="宋体" w:hAnsi="宋体" w:eastAsia="宋体" w:cs="宋体"/>
                <w:color w:val="auto"/>
                <w:highlight w:val="none"/>
              </w:rPr>
              <w:t>■不允许      □允许：</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允许偏离最高项数：</w:t>
            </w:r>
            <w:r>
              <w:rPr>
                <w:rFonts w:hint="eastAsia" w:ascii="宋体" w:hAnsi="宋体" w:eastAsia="宋体" w:cs="宋体"/>
                <w:color w:val="auto"/>
                <w:highlight w:val="none"/>
                <w:u w:val="single"/>
              </w:rPr>
              <w:t xml:space="preserve">      </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 xml:space="preserve">              偏差调整方法：</w:t>
            </w:r>
            <w:r>
              <w:rPr>
                <w:rFonts w:hint="eastAsia" w:ascii="宋体" w:hAnsi="宋体" w:eastAsia="宋体" w:cs="宋体"/>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构成招标文件的其它材料</w:t>
            </w:r>
          </w:p>
        </w:tc>
        <w:tc>
          <w:tcPr>
            <w:tcW w:w="6378" w:type="dxa"/>
            <w:vAlign w:val="center"/>
          </w:tcPr>
          <w:p>
            <w:pPr>
              <w:shd w:val="clear" w:fill="FFFFFF" w:themeFill="background1"/>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施工图纸、工程量清单、招标文件的澄清、修改及答疑等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2.2.1</w:t>
            </w:r>
          </w:p>
          <w:p>
            <w:pPr>
              <w:shd w:val="clear" w:fill="FFFFFF" w:themeFill="background1"/>
              <w:jc w:val="center"/>
              <w:rPr>
                <w:rFonts w:hint="eastAsia" w:ascii="宋体" w:hAnsi="宋体" w:eastAsia="宋体" w:cs="宋体"/>
                <w:color w:val="auto"/>
                <w:highlight w:val="none"/>
              </w:rPr>
            </w:pP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对招标文件提出异议及对异议的答复</w:t>
            </w:r>
          </w:p>
        </w:tc>
        <w:tc>
          <w:tcPr>
            <w:tcW w:w="6378" w:type="dxa"/>
            <w:vAlign w:val="center"/>
          </w:tcPr>
          <w:p>
            <w:pPr>
              <w:rPr>
                <w:rFonts w:hint="eastAsia" w:ascii="宋体" w:hAnsi="宋体" w:eastAsia="宋体" w:cs="宋体"/>
                <w:color w:val="auto"/>
              </w:rPr>
            </w:pPr>
            <w:r>
              <w:rPr>
                <w:rFonts w:hint="eastAsia" w:ascii="宋体" w:hAnsi="宋体" w:eastAsia="宋体" w:cs="宋体"/>
                <w:color w:val="auto"/>
              </w:rPr>
              <w:t>投标截止时间10日前。</w:t>
            </w:r>
          </w:p>
          <w:p>
            <w:pPr>
              <w:rPr>
                <w:rFonts w:hint="eastAsia" w:ascii="宋体" w:hAnsi="宋体" w:eastAsia="宋体" w:cs="宋体"/>
                <w:color w:val="auto"/>
              </w:rPr>
            </w:pPr>
            <w:r>
              <w:rPr>
                <w:rFonts w:hint="eastAsia" w:ascii="宋体" w:hAnsi="宋体" w:eastAsia="宋体" w:cs="宋体"/>
                <w:color w:val="auto"/>
              </w:rPr>
              <w:t xml:space="preserve">接受异议的电子邮箱（或公众号）：tydl88888@163.com  </w:t>
            </w:r>
          </w:p>
          <w:p>
            <w:pPr>
              <w:rPr>
                <w:rFonts w:hint="eastAsia" w:ascii="宋体" w:hAnsi="宋体" w:eastAsia="宋体" w:cs="宋体"/>
                <w:color w:val="auto"/>
              </w:rPr>
            </w:pPr>
            <w:r>
              <w:rPr>
                <w:rFonts w:hint="eastAsia" w:ascii="宋体" w:hAnsi="宋体" w:eastAsia="宋体" w:cs="宋体"/>
                <w:color w:val="auto"/>
              </w:rPr>
              <w:t>异议的答复在阜阳市公共资源交易网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"http://jyzx.fy.gov.cn" </w:instrText>
            </w:r>
            <w:r>
              <w:rPr>
                <w:rFonts w:hint="eastAsia" w:ascii="宋体" w:hAnsi="宋体" w:eastAsia="宋体" w:cs="宋体"/>
                <w:color w:val="auto"/>
              </w:rPr>
              <w:fldChar w:fldCharType="separate"/>
            </w:r>
            <w:r>
              <w:rPr>
                <w:rFonts w:hint="eastAsia" w:ascii="宋体" w:hAnsi="宋体" w:eastAsia="宋体" w:cs="宋体"/>
                <w:color w:val="auto"/>
              </w:rPr>
              <w:t>http://jyzx.fy.gov.cn</w:t>
            </w:r>
            <w:r>
              <w:rPr>
                <w:rFonts w:hint="eastAsia" w:ascii="宋体" w:hAnsi="宋体" w:eastAsia="宋体" w:cs="宋体"/>
                <w:color w:val="auto"/>
              </w:rPr>
              <w:fldChar w:fldCharType="end"/>
            </w:r>
            <w:r>
              <w:rPr>
                <w:rFonts w:hint="eastAsia" w:ascii="宋体" w:hAnsi="宋体" w:eastAsia="宋体" w:cs="宋体"/>
                <w:color w:val="auto"/>
              </w:rPr>
              <w:t xml:space="preserve"> 网站发布</w:t>
            </w:r>
          </w:p>
          <w:p>
            <w:pPr>
              <w:rPr>
                <w:rFonts w:hint="eastAsia" w:ascii="宋体" w:hAnsi="宋体" w:eastAsia="宋体" w:cs="宋体"/>
                <w:color w:val="auto"/>
                <w:spacing w:val="-6"/>
                <w:highlight w:val="none"/>
              </w:rPr>
            </w:pPr>
            <w:r>
              <w:rPr>
                <w:rFonts w:hint="eastAsia" w:ascii="宋体" w:hAnsi="宋体" w:eastAsia="宋体" w:cs="宋体"/>
                <w:color w:val="auto"/>
                <w:lang w:val="en-US" w:eastAsia="zh-CN"/>
              </w:rPr>
              <w:t>特别提示：按照“《工程建设项目招标投标活动投诉处理办法》(七部委令11号)、《政府采购质疑和投诉办法》（财政部令94号）、</w:t>
            </w:r>
            <w:r>
              <w:rPr>
                <w:rFonts w:hint="eastAsia" w:ascii="宋体" w:hAnsi="宋体" w:eastAsia="宋体" w:cs="宋体"/>
                <w:color w:val="auto"/>
              </w:rPr>
              <w:t>阜公管〔2018〕46号</w:t>
            </w:r>
            <w:r>
              <w:rPr>
                <w:rFonts w:hint="eastAsia" w:ascii="宋体" w:hAnsi="宋体" w:eastAsia="宋体" w:cs="宋体"/>
                <w:color w:val="auto"/>
                <w:lang w:eastAsia="zh-CN"/>
              </w:rPr>
              <w:t>、</w:t>
            </w:r>
            <w:r>
              <w:rPr>
                <w:rFonts w:hint="eastAsia" w:ascii="宋体" w:hAnsi="宋体" w:eastAsia="宋体" w:cs="宋体"/>
                <w:color w:val="auto"/>
              </w:rPr>
              <w:t>阜公管〔2018〕72号</w:t>
            </w:r>
            <w:r>
              <w:rPr>
                <w:rFonts w:hint="eastAsia" w:ascii="宋体" w:hAnsi="宋体" w:eastAsia="宋体" w:cs="宋体"/>
                <w:color w:val="auto"/>
                <w:lang w:val="en-US" w:eastAsia="zh-CN"/>
              </w:rPr>
              <w:t>”执行</w:t>
            </w:r>
            <w:r>
              <w:rPr>
                <w:rFonts w:hint="eastAsia" w:ascii="宋体" w:hAnsi="宋体" w:eastAsia="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2.3.1</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招标文件的澄清及修改</w:t>
            </w:r>
          </w:p>
        </w:tc>
        <w:tc>
          <w:tcPr>
            <w:tcW w:w="6378" w:type="dxa"/>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招标人对已发出的招标文件进行的必要澄清或者修改的内容可能影响投标文件编制的应在投标截止时间15天前，在</w:t>
            </w:r>
            <w:r>
              <w:rPr>
                <w:rFonts w:hint="eastAsia" w:ascii="宋体" w:hAnsi="宋体" w:eastAsia="宋体" w:cs="宋体"/>
                <w:bCs/>
                <w:color w:val="auto"/>
                <w:highlight w:val="none"/>
                <w:u w:val="single"/>
              </w:rPr>
              <w:t>阜阳市公共资源交易网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"http://jyzx.fy.gov.cn"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u w:val="single"/>
              </w:rPr>
              <w:t>http://jyzx.fy.gov.cn</w:t>
            </w:r>
            <w:r>
              <w:rPr>
                <w:rFonts w:hint="eastAsia" w:ascii="宋体" w:hAnsi="宋体" w:eastAsia="宋体" w:cs="宋体"/>
                <w:bCs/>
                <w:color w:val="auto"/>
                <w:highlight w:val="none"/>
                <w:u w:val="single"/>
              </w:rPr>
              <w:fldChar w:fldCharType="end"/>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rPr>
              <w:t>网上发布，距投标截止时间不足15天，顺延投标截止时间。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3.3.1</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6378" w:type="dxa"/>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 xml:space="preserve">投标截止时间之日起 </w:t>
            </w:r>
            <w:r>
              <w:rPr>
                <w:rFonts w:hint="eastAsia" w:ascii="宋体" w:hAnsi="宋体" w:eastAsia="宋体" w:cs="宋体"/>
                <w:color w:val="auto"/>
                <w:highlight w:val="none"/>
                <w:u w:val="single"/>
              </w:rPr>
              <w:t xml:space="preserve"> 90 </w:t>
            </w:r>
            <w:r>
              <w:rPr>
                <w:rFonts w:hint="eastAsia" w:ascii="宋体" w:hAnsi="宋体" w:eastAsia="宋体" w:cs="宋体"/>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3.4.1</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投标保证金</w:t>
            </w:r>
          </w:p>
        </w:tc>
        <w:tc>
          <w:tcPr>
            <w:tcW w:w="6378" w:type="dxa"/>
            <w:vAlign w:val="center"/>
          </w:tcPr>
          <w:p>
            <w:pPr>
              <w:shd w:val="clear" w:fill="FFFFFF" w:themeFill="background1"/>
              <w:spacing w:line="288" w:lineRule="auto"/>
              <w:rPr>
                <w:rFonts w:hint="eastAsia" w:ascii="宋体" w:hAnsi="宋体" w:eastAsia="宋体" w:cs="宋体"/>
                <w:b/>
                <w:bCs/>
                <w:color w:val="auto"/>
                <w:highlight w:val="none"/>
                <w:u w:val="single"/>
              </w:rPr>
            </w:pPr>
            <w:r>
              <w:rPr>
                <w:rFonts w:hint="eastAsia" w:ascii="宋体" w:hAnsi="宋体" w:eastAsia="宋体" w:cs="宋体"/>
                <w:color w:val="auto"/>
                <w:highlight w:val="none"/>
              </w:rPr>
              <w:t xml:space="preserve"> </w:t>
            </w:r>
            <w:r>
              <w:rPr>
                <w:rFonts w:hint="eastAsia" w:ascii="宋体" w:hAnsi="宋体" w:eastAsia="宋体" w:cs="宋体"/>
                <w:color w:val="auto"/>
                <w:kern w:val="0"/>
                <w:highlight w:val="none"/>
                <w:shd w:val="clear" w:fill="FFFFFF" w:themeFill="background1"/>
              </w:rPr>
              <w:t>投标保证金的金额：</w:t>
            </w:r>
            <w:r>
              <w:rPr>
                <w:rFonts w:hint="eastAsia" w:ascii="宋体" w:hAnsi="宋体" w:eastAsia="宋体" w:cs="宋体"/>
                <w:color w:val="auto"/>
                <w:kern w:val="0"/>
                <w:highlight w:val="none"/>
                <w:u w:val="single"/>
                <w:shd w:val="clear" w:fill="FFFFFF" w:themeFill="background1"/>
              </w:rPr>
              <w:t xml:space="preserve"> </w:t>
            </w:r>
            <w:r>
              <w:rPr>
                <w:rFonts w:hint="eastAsia" w:ascii="宋体" w:hAnsi="宋体" w:eastAsia="宋体" w:cs="宋体"/>
                <w:b w:val="0"/>
                <w:bCs/>
                <w:color w:val="auto"/>
                <w:kern w:val="0"/>
                <w:highlight w:val="none"/>
                <w:u w:val="single"/>
                <w:shd w:val="clear" w:fill="FFFFFF" w:themeFill="background1"/>
              </w:rPr>
              <w:t xml:space="preserve">19 </w:t>
            </w:r>
            <w:r>
              <w:rPr>
                <w:rFonts w:hint="eastAsia" w:ascii="宋体" w:hAnsi="宋体" w:eastAsia="宋体" w:cs="宋体"/>
                <w:b w:val="0"/>
                <w:bCs/>
                <w:color w:val="auto"/>
                <w:kern w:val="0"/>
                <w:highlight w:val="none"/>
                <w:u w:val="single"/>
                <w:shd w:val="clear" w:fill="FFFFFF" w:themeFill="background1"/>
                <w:lang w:val="en-US" w:eastAsia="zh-CN"/>
              </w:rPr>
              <w:t>.00</w:t>
            </w:r>
            <w:r>
              <w:rPr>
                <w:rFonts w:hint="eastAsia" w:ascii="宋体" w:hAnsi="宋体" w:eastAsia="宋体" w:cs="宋体"/>
                <w:color w:val="auto"/>
                <w:kern w:val="0"/>
                <w:highlight w:val="none"/>
                <w:shd w:val="clear" w:fill="FFFFFF" w:themeFill="background1"/>
              </w:rPr>
              <w:t>万元</w:t>
            </w:r>
            <w:r>
              <w:rPr>
                <w:rFonts w:hint="eastAsia" w:ascii="宋体" w:hAnsi="宋体" w:eastAsia="宋体" w:cs="宋体"/>
                <w:color w:val="auto"/>
                <w:kern w:val="0"/>
                <w:highlight w:val="none"/>
                <w:shd w:val="clear" w:fill="FFFFFF" w:themeFill="background1"/>
                <w:lang w:val="en-US" w:eastAsia="zh-CN"/>
              </w:rPr>
              <w:t>;</w:t>
            </w:r>
            <w:r>
              <w:rPr>
                <w:rFonts w:hint="eastAsia" w:ascii="宋体" w:hAnsi="宋体" w:eastAsia="宋体" w:cs="宋体"/>
                <w:b/>
                <w:color w:val="auto"/>
                <w:highlight w:val="none"/>
              </w:rPr>
              <w:t>须投标截止时间前从投标人基本账户转入阜阳市公共资源交易中心投标保证金专户  ，投标保证金付款人的帐户名称必须与投标人名称一致，不接受汇票及现金，以资金到账时间为确认保证金交纳完毕时间。</w:t>
            </w:r>
            <w:r>
              <w:rPr>
                <w:rFonts w:hint="eastAsia" w:ascii="宋体" w:hAnsi="宋体" w:eastAsia="宋体" w:cs="宋体"/>
                <w:b/>
                <w:bCs/>
                <w:color w:val="auto"/>
                <w:highlight w:val="none"/>
                <w:u w:val="single"/>
              </w:rPr>
              <w:t>交纳保证金时须在交易附言中注明：“投标保证金”。</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账户一：</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收款单位：阜阳市公共资源交易中心投标保证金专户    </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开户银行：阜阳颍淮农村商业银行股份有限公司: </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银行账号： 20000537947810300045222</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账户二：</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收款单位：阜阳市公共资源交易中心投标保证金专户    </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开户银行：阜阳颍东农村商业银行股份有限公司: </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银行账号 ：20000537947810300044196         </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账户三：</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收款单位：阜阳市公共资源交易中心投标保证金专户     </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开户银行：中国建设银行股份有限公司阜阳颍州支行: </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银行账号 ：34001712008052505143-0779  </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账户</w:t>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收款单位：阜阳市公共资源交易中心投标保证金专户     </w:t>
            </w:r>
          </w:p>
          <w:p>
            <w:pPr>
              <w:shd w:val="clear" w:fill="FFFFFF" w:themeFill="background1"/>
              <w:rPr>
                <w:rFonts w:hint="eastAsia" w:ascii="宋体" w:hAnsi="宋体" w:eastAsia="宋体" w:cs="宋体"/>
                <w:color w:val="auto"/>
                <w:highlight w:val="none"/>
                <w:lang w:eastAsia="zh-CN"/>
              </w:rPr>
            </w:pPr>
            <w:r>
              <w:rPr>
                <w:rFonts w:hint="eastAsia" w:ascii="宋体" w:hAnsi="宋体" w:eastAsia="宋体" w:cs="宋体"/>
                <w:color w:val="auto"/>
                <w:highlight w:val="none"/>
              </w:rPr>
              <w:t>开户银行：阜阳颍泉农村商业银行股份有限公司</w:t>
            </w:r>
            <w:r>
              <w:rPr>
                <w:rFonts w:hint="eastAsia" w:ascii="宋体" w:hAnsi="宋体" w:eastAsia="宋体" w:cs="宋体"/>
                <w:color w:val="auto"/>
                <w:highlight w:val="none"/>
                <w:lang w:val="en-US" w:eastAsia="zh-CN"/>
              </w:rPr>
              <w:t xml:space="preserve"> </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银行账号 ：20000537947810300045351 </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账户</w:t>
            </w:r>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收款单位：阜阳市公共资源交易中心投标保证金专户     </w:t>
            </w:r>
          </w:p>
          <w:p>
            <w:pPr>
              <w:shd w:val="clear" w:fill="FFFFFF" w:themeFill="background1"/>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开户银行：徽商银行阜阳颍州支行</w:t>
            </w:r>
            <w:r>
              <w:rPr>
                <w:rFonts w:hint="eastAsia" w:ascii="宋体" w:hAnsi="宋体" w:eastAsia="宋体" w:cs="宋体"/>
                <w:color w:val="auto"/>
                <w:highlight w:val="none"/>
                <w:lang w:val="en-US" w:eastAsia="zh-CN"/>
              </w:rPr>
              <w:t xml:space="preserve"> </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 xml:space="preserve">银行账号 ： 2080101021000425368003423; </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备注：</w:t>
            </w:r>
          </w:p>
          <w:p>
            <w:pPr>
              <w:shd w:val="clear" w:fill="FFFFFF" w:themeFill="background1"/>
              <w:jc w:val="left"/>
              <w:rPr>
                <w:rFonts w:hint="eastAsia" w:ascii="宋体" w:hAnsi="宋体" w:eastAsia="宋体" w:cs="宋体"/>
                <w:color w:val="auto"/>
                <w:highlight w:val="none"/>
              </w:rPr>
            </w:pPr>
            <w:r>
              <w:rPr>
                <w:rFonts w:hint="eastAsia" w:ascii="宋体" w:hAnsi="宋体" w:eastAsia="宋体" w:cs="宋体"/>
                <w:b/>
                <w:color w:val="auto"/>
                <w:highlight w:val="none"/>
              </w:rPr>
              <w:t>投标单位请严格按照招标文件载明的银行、账户汇入投标保证金，否则在开标时将无法查询保证金是否到账，导致投标文件被否决！</w:t>
            </w:r>
            <w:r>
              <w:rPr>
                <w:rFonts w:hint="eastAsia" w:ascii="宋体" w:hAnsi="宋体" w:eastAsia="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3.6</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是否允许递交备选投标方案</w:t>
            </w:r>
          </w:p>
        </w:tc>
        <w:tc>
          <w:tcPr>
            <w:tcW w:w="6378" w:type="dxa"/>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■不允许</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3.7.3</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签字或盖章要求</w:t>
            </w:r>
          </w:p>
        </w:tc>
        <w:tc>
          <w:tcPr>
            <w:tcW w:w="6378" w:type="dxa"/>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 xml:space="preserve">符合第八章投标文件格式要求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3.7.5</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是否要求投标人在递交投标文件时，同时递交投标文件电子版</w:t>
            </w:r>
          </w:p>
        </w:tc>
        <w:tc>
          <w:tcPr>
            <w:tcW w:w="6378" w:type="dxa"/>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□不要求</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■要求，投标文件电子版内容共</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val="en-US" w:eastAsia="zh-CN"/>
              </w:rPr>
              <w:t>1</w:t>
            </w:r>
            <w:r>
              <w:rPr>
                <w:rFonts w:hint="eastAsia" w:ascii="宋体" w:hAnsi="宋体" w:eastAsia="宋体" w:cs="宋体"/>
                <w:color w:val="auto"/>
                <w:highlight w:val="none"/>
                <w:u w:val="single"/>
              </w:rPr>
              <w:t>）</w:t>
            </w:r>
            <w:r>
              <w:rPr>
                <w:rFonts w:hint="eastAsia" w:ascii="宋体" w:hAnsi="宋体" w:eastAsia="宋体" w:cs="宋体"/>
                <w:color w:val="auto"/>
                <w:highlight w:val="none"/>
              </w:rPr>
              <w:t>份 (光盘或U盘，格式为PDF)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3.7.6</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投标文件份数</w:t>
            </w:r>
          </w:p>
        </w:tc>
        <w:tc>
          <w:tcPr>
            <w:tcW w:w="6378" w:type="dxa"/>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正本1份,副本</w:t>
            </w:r>
            <w:r>
              <w:rPr>
                <w:rFonts w:hint="eastAsia" w:ascii="宋体" w:hAnsi="宋体" w:eastAsia="宋体" w:cs="宋体"/>
                <w:color w:val="auto"/>
                <w:highlight w:val="none"/>
                <w:u w:val="single"/>
              </w:rPr>
              <w:t xml:space="preserve"> 4 </w:t>
            </w:r>
            <w:r>
              <w:rPr>
                <w:rFonts w:hint="eastAsia" w:ascii="宋体" w:hAnsi="宋体" w:eastAsia="宋体" w:cs="宋体"/>
                <w:color w:val="auto"/>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3.7.7</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装订要求</w:t>
            </w:r>
          </w:p>
        </w:tc>
        <w:tc>
          <w:tcPr>
            <w:tcW w:w="6378" w:type="dxa"/>
            <w:vAlign w:val="center"/>
          </w:tcPr>
          <w:p>
            <w:pPr>
              <w:shd w:val="clear" w:fill="FFFFFF" w:themeFill="background1"/>
              <w:spacing w:line="288"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按照投标人须知第3.7.5项规定的投标文件组成内容，投标文件应按以下要求装订：投标文件每册均需采用胶装，装订应牢固、不易拆散和换页，不得采用活页装订。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4.1.2</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封套上写明</w:t>
            </w:r>
          </w:p>
        </w:tc>
        <w:tc>
          <w:tcPr>
            <w:tcW w:w="6378" w:type="dxa"/>
            <w:vAlign w:val="center"/>
          </w:tcPr>
          <w:p>
            <w:pPr>
              <w:shd w:val="clear" w:fill="FFFFFF" w:themeFill="background1"/>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投标人名称：</w:t>
            </w:r>
            <w:r>
              <w:rPr>
                <w:rFonts w:hint="eastAsia" w:ascii="宋体" w:hAnsi="宋体" w:eastAsia="宋体" w:cs="宋体"/>
                <w:color w:val="auto"/>
                <w:highlight w:val="none"/>
                <w:u w:val="single"/>
              </w:rPr>
              <w:t xml:space="preserve">                </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 xml:space="preserve"> 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4.2.1</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投标文件递交、截止时间</w:t>
            </w:r>
          </w:p>
        </w:tc>
        <w:tc>
          <w:tcPr>
            <w:tcW w:w="6378" w:type="dxa"/>
            <w:vAlign w:val="center"/>
          </w:tcPr>
          <w:p>
            <w:pPr>
              <w:shd w:val="clear" w:fill="FFFFFF" w:themeFill="background1"/>
              <w:ind w:left="315" w:hanging="315" w:hangingChars="150"/>
              <w:rPr>
                <w:rFonts w:hint="eastAsia" w:ascii="宋体" w:hAnsi="宋体" w:eastAsia="宋体" w:cs="宋体"/>
                <w:color w:val="auto"/>
                <w:highlight w:val="none"/>
              </w:rPr>
            </w:pPr>
            <w:r>
              <w:rPr>
                <w:rFonts w:hint="eastAsia" w:ascii="宋体" w:hAnsi="宋体" w:eastAsia="宋体" w:cs="宋体"/>
                <w:color w:val="auto"/>
                <w:highlight w:val="none"/>
              </w:rPr>
              <w:t>投标截止时间：</w:t>
            </w:r>
            <w:r>
              <w:rPr>
                <w:rFonts w:hint="eastAsia" w:ascii="宋体" w:hAnsi="宋体" w:eastAsia="宋体" w:cs="宋体"/>
                <w:color w:val="auto"/>
                <w:highlight w:val="none"/>
                <w:u w:val="single"/>
              </w:rPr>
              <w:t xml:space="preserve"> 2018 </w:t>
            </w:r>
            <w:r>
              <w:rPr>
                <w:rFonts w:hint="eastAsia" w:ascii="宋体" w:hAnsi="宋体" w:eastAsia="宋体" w:cs="宋体"/>
                <w:color w:val="auto"/>
                <w:highlight w:val="none"/>
              </w:rPr>
              <w:t>年</w:t>
            </w:r>
            <w:r>
              <w:rPr>
                <w:rFonts w:hint="eastAsia" w:ascii="宋体" w:hAnsi="宋体" w:eastAsia="宋体" w:cs="宋体"/>
                <w:color w:val="auto"/>
                <w:highlight w:val="none"/>
                <w:u w:val="single"/>
                <w:lang w:val="en-US" w:eastAsia="zh-CN"/>
              </w:rPr>
              <w:t>06</w:t>
            </w:r>
            <w:r>
              <w:rPr>
                <w:rFonts w:hint="eastAsia" w:ascii="宋体" w:hAnsi="宋体" w:eastAsia="宋体" w:cs="宋体"/>
                <w:color w:val="auto"/>
                <w:highlight w:val="none"/>
              </w:rPr>
              <w:t>月</w:t>
            </w:r>
            <w:r>
              <w:rPr>
                <w:rFonts w:hint="eastAsia" w:ascii="宋体" w:hAnsi="宋体" w:eastAsia="宋体" w:cs="宋体"/>
                <w:color w:val="auto"/>
                <w:highlight w:val="none"/>
                <w:u w:val="single"/>
                <w:lang w:val="en-US" w:eastAsia="zh-CN"/>
              </w:rPr>
              <w:t>29</w:t>
            </w:r>
            <w:r>
              <w:rPr>
                <w:rFonts w:hint="eastAsia" w:ascii="宋体" w:hAnsi="宋体" w:eastAsia="宋体" w:cs="宋体"/>
                <w:color w:val="auto"/>
                <w:highlight w:val="none"/>
              </w:rPr>
              <w:t>日</w:t>
            </w:r>
            <w:r>
              <w:rPr>
                <w:rFonts w:hint="eastAsia" w:ascii="宋体" w:hAnsi="宋体" w:eastAsia="宋体" w:cs="宋体"/>
                <w:color w:val="auto"/>
                <w:highlight w:val="none"/>
                <w:u w:val="single"/>
                <w:lang w:val="en-US" w:eastAsia="zh-CN"/>
              </w:rPr>
              <w:t>09</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00</w:t>
            </w:r>
            <w:r>
              <w:rPr>
                <w:rFonts w:hint="eastAsia" w:ascii="宋体" w:hAnsi="宋体" w:eastAsia="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4.2.2</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递交投标文件地点</w:t>
            </w:r>
          </w:p>
        </w:tc>
        <w:tc>
          <w:tcPr>
            <w:tcW w:w="6378" w:type="dxa"/>
            <w:vAlign w:val="center"/>
          </w:tcPr>
          <w:p>
            <w:pPr>
              <w:pStyle w:val="15"/>
              <w:widowControl/>
              <w:shd w:val="clear" w:fill="FFFFFF" w:themeFill="background1"/>
              <w:adjustRightInd w:val="0"/>
              <w:snapToGrid w:val="0"/>
              <w:spacing w:before="0" w:beforeAutospacing="0" w:after="0" w:line="360" w:lineRule="auto"/>
              <w:ind w:left="-17" w:leftChars="-8" w:right="-178" w:firstLine="16" w:firstLineChars="8"/>
              <w:jc w:val="both"/>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阜阳市公共资源交易中心</w:t>
            </w:r>
            <w:r>
              <w:rPr>
                <w:rFonts w:hint="eastAsia" w:ascii="宋体" w:hAnsi="宋体" w:eastAsia="宋体" w:cs="宋体"/>
                <w:bCs/>
                <w:color w:val="auto"/>
                <w:sz w:val="21"/>
                <w:szCs w:val="21"/>
                <w:highlight w:val="none"/>
                <w:u w:val="single"/>
                <w:lang w:val="en-US" w:eastAsia="zh-CN"/>
              </w:rPr>
              <w:t>542</w:t>
            </w:r>
            <w:r>
              <w:rPr>
                <w:rFonts w:hint="eastAsia" w:ascii="宋体" w:hAnsi="宋体" w:eastAsia="宋体" w:cs="宋体"/>
                <w:bCs/>
                <w:color w:val="auto"/>
                <w:sz w:val="21"/>
                <w:szCs w:val="21"/>
                <w:highlight w:val="none"/>
              </w:rPr>
              <w:t>开标室</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地址：城南新区三清路（新三中斜对面）阜阳市民中心五楼</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4.2.3</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是否退还投标文件</w:t>
            </w:r>
          </w:p>
        </w:tc>
        <w:tc>
          <w:tcPr>
            <w:tcW w:w="6378" w:type="dxa"/>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■否</w:t>
            </w:r>
          </w:p>
          <w:p>
            <w:pPr>
              <w:shd w:val="clear" w:fill="FFFFFF" w:themeFill="background1"/>
              <w:rPr>
                <w:rFonts w:hint="eastAsia" w:ascii="宋体" w:hAnsi="宋体" w:eastAsia="宋体" w:cs="宋体"/>
                <w:color w:val="auto"/>
                <w:highlight w:val="none"/>
                <w:u w:val="single"/>
              </w:rPr>
            </w:pPr>
            <w:r>
              <w:rPr>
                <w:rFonts w:hint="eastAsia" w:ascii="宋体" w:hAnsi="宋体" w:eastAsia="宋体" w:cs="宋体"/>
                <w:color w:val="auto"/>
                <w:highlight w:val="none"/>
              </w:rPr>
              <w:t>□是，退还安排：</w:t>
            </w:r>
            <w:r>
              <w:rPr>
                <w:rFonts w:hint="eastAsia" w:ascii="宋体" w:hAnsi="宋体" w:eastAsia="宋体" w:cs="宋体"/>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5.1</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开标时间和地点</w:t>
            </w:r>
          </w:p>
        </w:tc>
        <w:tc>
          <w:tcPr>
            <w:tcW w:w="6378" w:type="dxa"/>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 xml:space="preserve">开标时间：同投标截止时间   </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开标地点： 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5.2.1</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投标文件密封情况检查</w:t>
            </w:r>
          </w:p>
        </w:tc>
        <w:tc>
          <w:tcPr>
            <w:tcW w:w="6378" w:type="dxa"/>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 xml:space="preserve">密封情况检查：各投标人代表检查本单位的投标文件密封是否完好。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5.2.2</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投标人参加开标会的要求</w:t>
            </w:r>
          </w:p>
        </w:tc>
        <w:tc>
          <w:tcPr>
            <w:tcW w:w="6378" w:type="dxa"/>
            <w:vAlign w:val="center"/>
          </w:tcPr>
          <w:p>
            <w:pPr>
              <w:shd w:val="clear" w:fill="FFFFFF" w:themeFill="background1"/>
              <w:spacing w:line="312" w:lineRule="auto"/>
              <w:rPr>
                <w:rFonts w:hint="eastAsia" w:ascii="宋体" w:hAnsi="宋体" w:eastAsia="宋体" w:cs="宋体"/>
                <w:bCs/>
                <w:color w:val="auto"/>
                <w:highlight w:val="none"/>
              </w:rPr>
            </w:pPr>
            <w:r>
              <w:rPr>
                <w:rFonts w:hint="eastAsia" w:ascii="宋体" w:hAnsi="宋体" w:eastAsia="宋体" w:cs="宋体"/>
                <w:color w:val="auto"/>
                <w:highlight w:val="none"/>
              </w:rPr>
              <w:t>按照本须知第5.1款的规定，</w:t>
            </w:r>
            <w:r>
              <w:rPr>
                <w:rFonts w:hint="eastAsia" w:ascii="宋体" w:hAnsi="宋体" w:eastAsia="宋体" w:cs="宋体"/>
                <w:bCs/>
                <w:color w:val="auto"/>
                <w:highlight w:val="none"/>
              </w:rPr>
              <w:t>招标人邀请所有投标人的</w:t>
            </w:r>
            <w:r>
              <w:rPr>
                <w:rFonts w:hint="eastAsia" w:ascii="宋体" w:hAnsi="宋体" w:eastAsia="宋体" w:cs="宋体"/>
                <w:b/>
                <w:bCs/>
                <w:color w:val="auto"/>
                <w:highlight w:val="none"/>
              </w:rPr>
              <w:t>法定代表人携带本人身份证</w:t>
            </w:r>
            <w:r>
              <w:rPr>
                <w:rFonts w:hint="eastAsia" w:ascii="宋体" w:hAnsi="宋体" w:eastAsia="宋体" w:cs="宋体"/>
                <w:b/>
                <w:bCs/>
                <w:color w:val="auto"/>
                <w:highlight w:val="none"/>
                <w:lang w:eastAsia="zh-CN"/>
              </w:rPr>
              <w:t>、法定代表人身份证明</w:t>
            </w:r>
            <w:r>
              <w:rPr>
                <w:rFonts w:hint="eastAsia" w:ascii="宋体" w:hAnsi="宋体" w:eastAsia="宋体" w:cs="宋体"/>
                <w:b/>
                <w:bCs/>
                <w:color w:val="auto"/>
                <w:highlight w:val="none"/>
              </w:rPr>
              <w:t>或委托代理人携带本人身份证、 授权委托书参加开标会。</w:t>
            </w:r>
          </w:p>
          <w:p>
            <w:pPr>
              <w:shd w:val="clear" w:fill="FFFFFF" w:themeFill="background1"/>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法定代表人身份证明、</w:t>
            </w:r>
            <w:r>
              <w:rPr>
                <w:rFonts w:hint="eastAsia" w:ascii="宋体" w:hAnsi="宋体" w:eastAsia="宋体" w:cs="宋体"/>
                <w:b/>
                <w:bCs/>
                <w:color w:val="auto"/>
                <w:highlight w:val="none"/>
              </w:rPr>
              <w:t>授权委托书开标时单独提供一份</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 xml:space="preserve"> </w:t>
            </w:r>
          </w:p>
          <w:p>
            <w:pPr>
              <w:shd w:val="clear" w:fill="FFFFFF" w:themeFill="background1"/>
              <w:rPr>
                <w:rFonts w:hint="eastAsia" w:ascii="宋体" w:hAnsi="宋体" w:eastAsia="宋体" w:cs="宋体"/>
                <w:b/>
                <w:bCs/>
                <w:color w:val="auto"/>
                <w:highlight w:val="none"/>
              </w:rPr>
            </w:pPr>
            <w:r>
              <w:rPr>
                <w:rFonts w:hint="eastAsia" w:ascii="宋体" w:hAnsi="宋体" w:eastAsia="宋体" w:cs="宋体"/>
                <w:b/>
                <w:bCs/>
                <w:color w:val="auto"/>
                <w:highlight w:val="none"/>
              </w:rPr>
              <w:t>（证件均为原件）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6.1.1</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评标委员会的组建</w:t>
            </w:r>
          </w:p>
        </w:tc>
        <w:tc>
          <w:tcPr>
            <w:tcW w:w="6378" w:type="dxa"/>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评标委员会构成：</w:t>
            </w:r>
            <w:r>
              <w:rPr>
                <w:rFonts w:hint="eastAsia" w:ascii="宋体" w:hAnsi="宋体" w:eastAsia="宋体" w:cs="宋体"/>
                <w:color w:val="auto"/>
                <w:highlight w:val="none"/>
                <w:u w:val="single"/>
              </w:rPr>
              <w:t xml:space="preserve">  5  </w:t>
            </w:r>
            <w:r>
              <w:rPr>
                <w:rFonts w:hint="eastAsia" w:ascii="宋体" w:hAnsi="宋体" w:eastAsia="宋体" w:cs="宋体"/>
                <w:color w:val="auto"/>
                <w:highlight w:val="none"/>
              </w:rPr>
              <w:t>人及以上单数。</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评标专家确定方式：从安徽省综合评标专家库中</w:t>
            </w:r>
            <w:r>
              <w:rPr>
                <w:rFonts w:hint="eastAsia" w:ascii="宋体" w:hAnsi="宋体" w:eastAsia="宋体" w:cs="宋体"/>
                <w:color w:val="auto"/>
                <w:highlight w:val="none"/>
                <w:u w:val="single"/>
              </w:rPr>
              <w:t>随机抽取</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7.1</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是否授权评标委员会确定中标人</w:t>
            </w:r>
          </w:p>
        </w:tc>
        <w:tc>
          <w:tcPr>
            <w:tcW w:w="6378" w:type="dxa"/>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□是</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 xml:space="preserve">■否 </w:t>
            </w:r>
            <w:r>
              <w:rPr>
                <w:rFonts w:hint="eastAsia" w:ascii="宋体" w:hAnsi="宋体" w:eastAsia="宋体" w:cs="宋体"/>
                <w:b/>
                <w:color w:val="auto"/>
                <w:highlight w:val="none"/>
              </w:rPr>
              <w:t>，推荐中标候选人数：</w:t>
            </w:r>
            <w:r>
              <w:rPr>
                <w:rFonts w:hint="eastAsia" w:ascii="宋体" w:hAnsi="宋体" w:eastAsia="宋体" w:cs="宋体"/>
                <w:b/>
                <w:color w:val="auto"/>
                <w:highlight w:val="none"/>
                <w:u w:val="single"/>
              </w:rPr>
              <w:t xml:space="preserve"> 1—3</w:t>
            </w:r>
            <w:r>
              <w:rPr>
                <w:rFonts w:hint="eastAsia" w:ascii="宋体" w:hAnsi="宋体" w:eastAsia="宋体" w:cs="宋体"/>
                <w:b/>
                <w:color w:val="auto"/>
                <w:highlight w:val="none"/>
              </w:rPr>
              <w:t xml:space="preserve">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7.2.1</w:t>
            </w:r>
          </w:p>
        </w:tc>
        <w:tc>
          <w:tcPr>
            <w:tcW w:w="1701"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中标候选人公示媒介</w:t>
            </w:r>
          </w:p>
        </w:tc>
        <w:tc>
          <w:tcPr>
            <w:tcW w:w="6378" w:type="dxa"/>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 xml:space="preserve"> 发布招标公告的网站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93"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7.3.1</w:t>
            </w:r>
          </w:p>
        </w:tc>
        <w:tc>
          <w:tcPr>
            <w:tcW w:w="1701" w:type="dxa"/>
            <w:gridSpan w:val="3"/>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履约担保</w:t>
            </w:r>
          </w:p>
        </w:tc>
        <w:tc>
          <w:tcPr>
            <w:tcW w:w="6378" w:type="dxa"/>
            <w:vAlign w:val="center"/>
          </w:tcPr>
          <w:p>
            <w:pPr>
              <w:shd w:val="clear" w:fill="FFFFFF" w:themeFill="background1"/>
              <w:ind w:firstLine="102" w:firstLineChars="49"/>
              <w:rPr>
                <w:rFonts w:hint="eastAsia" w:ascii="宋体" w:hAnsi="宋体" w:eastAsia="宋体" w:cs="宋体"/>
                <w:color w:val="auto"/>
                <w:highlight w:val="none"/>
              </w:rPr>
            </w:pPr>
            <w:r>
              <w:rPr>
                <w:rFonts w:hint="eastAsia" w:ascii="宋体" w:hAnsi="宋体" w:eastAsia="宋体" w:cs="宋体"/>
                <w:color w:val="auto"/>
                <w:highlight w:val="none"/>
              </w:rPr>
              <w:t>担保形式：■现金   □保函    □保证保险</w:t>
            </w:r>
          </w:p>
          <w:p>
            <w:pPr>
              <w:shd w:val="clear" w:fill="FFFFFF" w:themeFill="background1"/>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担保金额：</w:t>
            </w:r>
            <w:r>
              <w:rPr>
                <w:rFonts w:hint="eastAsia" w:ascii="宋体" w:hAnsi="宋体" w:eastAsia="宋体" w:cs="宋体"/>
                <w:b/>
                <w:bCs/>
                <w:color w:val="auto"/>
                <w:highlight w:val="none"/>
                <w:u w:val="single"/>
              </w:rPr>
              <w:t>签订合同前，中标人需向招标人以转账方式提交合同总金额10%作为履约保证金，工程竣工验收合格后一次性无息退还，否则，招标人有权取消其中标资格，其投标保证金不予退还。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072" w:type="dxa"/>
            <w:gridSpan w:val="5"/>
            <w:vAlign w:val="center"/>
          </w:tcPr>
          <w:p>
            <w:pPr>
              <w:shd w:val="clear" w:fill="FFFFFF" w:themeFill="background1"/>
              <w:ind w:firstLine="102" w:firstLineChars="49"/>
              <w:rPr>
                <w:rFonts w:hint="eastAsia" w:ascii="宋体" w:hAnsi="宋体" w:eastAsia="宋体" w:cs="宋体"/>
                <w:color w:val="auto"/>
                <w:highlight w:val="none"/>
              </w:rPr>
            </w:pPr>
            <w:r>
              <w:rPr>
                <w:rFonts w:hint="eastAsia" w:ascii="宋体" w:hAnsi="宋体" w:eastAsia="宋体" w:cs="宋体"/>
                <w:color w:val="auto"/>
                <w:highlight w:val="none"/>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033" w:type="dxa"/>
            <w:gridSpan w:val="2"/>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10.1</w:t>
            </w:r>
          </w:p>
        </w:tc>
        <w:tc>
          <w:tcPr>
            <w:tcW w:w="1661" w:type="dxa"/>
            <w:gridSpan w:val="2"/>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 xml:space="preserve"> 最高投标限价</w:t>
            </w:r>
          </w:p>
        </w:tc>
        <w:tc>
          <w:tcPr>
            <w:tcW w:w="6378" w:type="dxa"/>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9580840.31  </w:t>
            </w:r>
            <w:r>
              <w:rPr>
                <w:rFonts w:hint="eastAsia" w:ascii="宋体" w:hAnsi="宋体" w:eastAsia="宋体" w:cs="宋体"/>
                <w:color w:val="auto"/>
                <w:highlight w:val="none"/>
              </w:rPr>
              <w:t>元。投标人报价不得大于或等于最高投标限价，否则按无效标处理。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072" w:type="dxa"/>
            <w:gridSpan w:val="5"/>
            <w:vAlign w:val="center"/>
          </w:tcPr>
          <w:p>
            <w:pPr>
              <w:shd w:val="clear" w:fill="FFFFFF" w:themeFill="background1"/>
              <w:rPr>
                <w:rFonts w:hint="eastAsia" w:ascii="宋体" w:hAnsi="宋体" w:eastAsia="宋体" w:cs="宋体"/>
                <w:color w:val="auto"/>
                <w:kern w:val="0"/>
                <w:highlight w:val="none"/>
                <w:u w:val="single"/>
              </w:rPr>
            </w:pPr>
            <w:r>
              <w:rPr>
                <w:rFonts w:hint="eastAsia" w:ascii="宋体" w:hAnsi="宋体" w:eastAsia="宋体" w:cs="宋体"/>
                <w:color w:val="auto"/>
                <w:highlight w:val="none"/>
              </w:rPr>
              <w:t>10.2  计算机辅助评标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033" w:type="dxa"/>
            <w:gridSpan w:val="2"/>
            <w:vAlign w:val="center"/>
          </w:tcPr>
          <w:p>
            <w:pPr>
              <w:shd w:val="clear" w:fill="FFFFFF" w:themeFill="background1"/>
              <w:jc w:val="center"/>
              <w:rPr>
                <w:rFonts w:hint="eastAsia" w:ascii="宋体" w:hAnsi="宋体" w:eastAsia="宋体" w:cs="宋体"/>
                <w:color w:val="auto"/>
                <w:highlight w:val="none"/>
              </w:rPr>
            </w:pPr>
          </w:p>
        </w:tc>
        <w:tc>
          <w:tcPr>
            <w:tcW w:w="1661" w:type="dxa"/>
            <w:gridSpan w:val="2"/>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是否实行计算机辅助评标</w:t>
            </w:r>
          </w:p>
        </w:tc>
        <w:tc>
          <w:tcPr>
            <w:tcW w:w="6378" w:type="dxa"/>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072" w:type="dxa"/>
            <w:gridSpan w:val="5"/>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10.3合同价款的方式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033" w:type="dxa"/>
            <w:gridSpan w:val="2"/>
            <w:vAlign w:val="center"/>
          </w:tcPr>
          <w:p>
            <w:pPr>
              <w:shd w:val="clear" w:fill="FFFFFF" w:themeFill="background1"/>
              <w:jc w:val="center"/>
              <w:rPr>
                <w:rFonts w:hint="eastAsia" w:ascii="宋体" w:hAnsi="宋体" w:eastAsia="宋体" w:cs="宋体"/>
                <w:color w:val="auto"/>
                <w:highlight w:val="none"/>
              </w:rPr>
            </w:pPr>
          </w:p>
        </w:tc>
        <w:tc>
          <w:tcPr>
            <w:tcW w:w="8039"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■固定总价合同</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□固定单价合同</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□可调价格合同</w:t>
            </w: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□成本加酬金合同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033" w:type="dxa"/>
            <w:gridSpan w:val="2"/>
            <w:vAlign w:val="center"/>
          </w:tcPr>
          <w:p>
            <w:pPr>
              <w:shd w:val="clear" w:fill="FFFFFF" w:themeFill="background1"/>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付款</w:t>
            </w:r>
          </w:p>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b/>
                <w:bCs/>
                <w:color w:val="auto"/>
                <w:highlight w:val="none"/>
              </w:rPr>
              <w:t>方式</w:t>
            </w:r>
          </w:p>
        </w:tc>
        <w:tc>
          <w:tcPr>
            <w:tcW w:w="8039" w:type="dxa"/>
            <w:gridSpan w:val="3"/>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b/>
                <w:color w:val="auto"/>
                <w:sz w:val="24"/>
                <w:szCs w:val="24"/>
                <w:highlight w:val="none"/>
                <w:u w:val="single"/>
              </w:rPr>
              <w:t>项目无工程预付款。工程款按形象进度支付已完成工程量的80％进度款，工程竣工验收合格并完成审计结算后，付至审计结算价的97％，审计结算价的3%待保修期（2年）满后，无质量问题一次性无息付清。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072" w:type="dxa"/>
            <w:gridSpan w:val="5"/>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10.4同义词语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072" w:type="dxa"/>
            <w:gridSpan w:val="5"/>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072" w:type="dxa"/>
            <w:gridSpan w:val="5"/>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10.5监督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9072" w:type="dxa"/>
            <w:gridSpan w:val="5"/>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本项目的招标投标活动及其相关当事人应当接受招投标监督管理部门的监督。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072" w:type="dxa"/>
            <w:gridSpan w:val="5"/>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10.6 招标文件解释权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1" w:hRule="atLeast"/>
          <w:jc w:val="center"/>
        </w:trPr>
        <w:tc>
          <w:tcPr>
            <w:tcW w:w="9072" w:type="dxa"/>
            <w:gridSpan w:val="5"/>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 xml:space="preserve">    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或其委托的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072" w:type="dxa"/>
            <w:gridSpan w:val="5"/>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10.7招标人补充的其他内容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3" w:type="dxa"/>
            <w:gridSpan w:val="2"/>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10.7.1</w:t>
            </w:r>
          </w:p>
        </w:tc>
        <w:tc>
          <w:tcPr>
            <w:tcW w:w="1187"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信用登记</w:t>
            </w:r>
          </w:p>
        </w:tc>
        <w:tc>
          <w:tcPr>
            <w:tcW w:w="6852" w:type="dxa"/>
            <w:gridSpan w:val="2"/>
            <w:vAlign w:val="center"/>
          </w:tcPr>
          <w:p>
            <w:pPr>
              <w:pStyle w:val="15"/>
              <w:shd w:val="clear" w:fill="FFFFFF" w:themeFill="background1"/>
              <w:spacing w:before="0" w:beforeAutospacing="0" w:after="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 xml:space="preserve">    投标单位中标后应在安徽省工程建设监管和信用管理平台（安徽省工程建设信息网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"http://www.ahgcjs.com.cn/"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sz w:val="21"/>
                <w:szCs w:val="21"/>
                <w:highlight w:val="none"/>
              </w:rPr>
              <w:t>http://www.ahgcjs.com.cn</w:t>
            </w:r>
            <w:r>
              <w:rPr>
                <w:rFonts w:hint="eastAsia" w:ascii="宋体" w:hAnsi="宋体" w:eastAsia="宋体" w:cs="宋体"/>
                <w:color w:val="auto"/>
                <w:kern w:val="2"/>
                <w:sz w:val="21"/>
                <w:szCs w:val="21"/>
                <w:highlight w:val="none"/>
              </w:rPr>
              <w:fldChar w:fldCharType="end"/>
            </w:r>
            <w:r>
              <w:rPr>
                <w:rFonts w:hint="eastAsia" w:ascii="宋体" w:hAnsi="宋体" w:eastAsia="宋体" w:cs="宋体"/>
                <w:color w:val="auto"/>
                <w:kern w:val="2"/>
                <w:sz w:val="21"/>
                <w:szCs w:val="21"/>
                <w:highlight w:val="none"/>
              </w:rPr>
              <w:t>）完善企业和个人基础信息，个人还需完成实名制登记。请各投标单位投标时慎重考虑项目组成人员，确保信息能够登记。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33" w:type="dxa"/>
            <w:gridSpan w:val="2"/>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10.7.2</w:t>
            </w:r>
          </w:p>
        </w:tc>
        <w:tc>
          <w:tcPr>
            <w:tcW w:w="1187"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考核</w:t>
            </w:r>
          </w:p>
        </w:tc>
        <w:tc>
          <w:tcPr>
            <w:tcW w:w="6852" w:type="dxa"/>
            <w:gridSpan w:val="2"/>
            <w:vAlign w:val="center"/>
          </w:tcPr>
          <w:p>
            <w:pPr>
              <w:shd w:val="clear" w:fill="FFFFFF" w:themeFill="background1"/>
              <w:rPr>
                <w:rFonts w:hint="eastAsia" w:ascii="宋体" w:hAnsi="宋体" w:eastAsia="宋体" w:cs="宋体"/>
                <w:color w:val="auto"/>
                <w:kern w:val="0"/>
                <w:highlight w:val="none"/>
              </w:rPr>
            </w:pPr>
            <w:r>
              <w:rPr>
                <w:rFonts w:hint="eastAsia" w:ascii="宋体" w:hAnsi="宋体" w:eastAsia="宋体" w:cs="宋体"/>
                <w:color w:val="auto"/>
                <w:highlight w:val="none"/>
              </w:rPr>
              <w:t>□不纳入  ■纳入</w:t>
            </w:r>
          </w:p>
          <w:p>
            <w:pPr>
              <w:shd w:val="clear" w:fill="FFFFFF" w:themeFill="background1"/>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本项目的项目经理、质量员、安全员等关键岗位人员在施工期间须按照《安徽省住房城乡建设厅关于印发安徽省建筑施工现场关键岗位人员在岗考核和“两场”联动工作方案（试行）的通知》（建质函〔2012〕1151号）的规定纳入“IFA”系统进行管理考核，如考核不合格，将严格按照《建质函〔2012〕1151号》文的规定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1033" w:type="dxa"/>
            <w:gridSpan w:val="2"/>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10.7.3</w:t>
            </w:r>
          </w:p>
        </w:tc>
        <w:tc>
          <w:tcPr>
            <w:tcW w:w="1187"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特别提醒</w:t>
            </w:r>
          </w:p>
        </w:tc>
        <w:tc>
          <w:tcPr>
            <w:tcW w:w="6852" w:type="dxa"/>
            <w:gridSpan w:val="2"/>
            <w:vAlign w:val="center"/>
          </w:tcPr>
          <w:p>
            <w:pPr>
              <w:shd w:val="clear" w:fill="FFFFFF" w:themeFill="background1"/>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投标人投标时采用固定总价报价方式，投标人不再对清单进行分项报价，投标人报价浮动率=中标价/最高投标限价*100%，（其中暂列金额、暂估价应同时扣减后计算）。 </w:t>
            </w:r>
          </w:p>
          <w:p>
            <w:pPr>
              <w:shd w:val="clear" w:fill="FFFFFF" w:themeFill="background1"/>
              <w:ind w:firstLine="420" w:firstLineChars="200"/>
              <w:outlineLvl w:val="2"/>
              <w:rPr>
                <w:rFonts w:hint="eastAsia" w:ascii="宋体" w:hAnsi="宋体" w:eastAsia="宋体" w:cs="宋体"/>
                <w:color w:val="auto"/>
                <w:highlight w:val="none"/>
              </w:rPr>
            </w:pPr>
            <w:r>
              <w:rPr>
                <w:rFonts w:hint="eastAsia" w:ascii="宋体" w:hAnsi="宋体" w:eastAsia="宋体" w:cs="宋体"/>
                <w:color w:val="auto"/>
                <w:highlight w:val="none"/>
              </w:rPr>
              <w:t>工程量清单工程量的确认：由招标人编制的工程量清单，作为本次招标报价的基础依据，投标人应在投标答疑截止时间前对招标人提供的工程量清单和施工图工程量进行核算并提出异议，分项工程量误差在正负3%之内不调整，若投标人没在规定的期限内提出异议，以投标人中标价所报价格作为合同价款结算依据；若经投标人核算清单项目工程量误差在正负3%之外或漏项、错项的，则投标人须在投标截止时间10日前提供相应的工程量计算书，以利招标人及时核对，并以招标人重新确定的清单工程量作为报价依据，开工后工程量一律不予调整（设计变更、经济签证、工程联系单等除外）。</w:t>
            </w:r>
          </w:p>
          <w:p>
            <w:pPr>
              <w:shd w:val="clear" w:fill="FFFFFF" w:themeFill="background1"/>
              <w:ind w:firstLine="420" w:firstLineChars="200"/>
              <w:outlineLvl w:val="2"/>
              <w:rPr>
                <w:rFonts w:hint="eastAsia" w:ascii="宋体" w:hAnsi="宋体" w:eastAsia="宋体" w:cs="宋体"/>
                <w:color w:val="auto"/>
                <w:highlight w:val="none"/>
              </w:rPr>
            </w:pPr>
            <w:r>
              <w:rPr>
                <w:rFonts w:hint="eastAsia" w:ascii="宋体" w:hAnsi="宋体" w:eastAsia="宋体" w:cs="宋体"/>
                <w:color w:val="auto"/>
                <w:highlight w:val="none"/>
              </w:rPr>
              <w:t>技术规范要求的费用应包括在投标报价中。在设计图中如没图示、或没表达明确的，且各投标单位没在规定期限内提出异议，结算时不得调整造价，视为该项费用已包括在投标总价内。</w:t>
            </w:r>
          </w:p>
          <w:p>
            <w:pPr>
              <w:shd w:val="clear" w:fill="FFFFFF" w:themeFill="background1"/>
              <w:ind w:firstLine="422" w:firstLineChars="200"/>
              <w:outlineLvl w:val="2"/>
              <w:rPr>
                <w:rFonts w:hint="eastAsia" w:ascii="宋体" w:hAnsi="宋体" w:eastAsia="宋体" w:cs="宋体"/>
                <w:b/>
                <w:color w:val="auto"/>
                <w:highlight w:val="none"/>
              </w:rPr>
            </w:pPr>
            <w:r>
              <w:rPr>
                <w:rFonts w:hint="eastAsia" w:ascii="宋体" w:hAnsi="宋体" w:eastAsia="宋体" w:cs="宋体"/>
                <w:b/>
                <w:color w:val="auto"/>
                <w:highlight w:val="none"/>
              </w:rPr>
              <w:t>石材墙面（陶瓷薄板一体板，含保温材料、配件等）必须进行深化设计，由中标单位自行设计，需原设计单位认可，费用包含在投标总价内，中标后不予调整。</w:t>
            </w:r>
          </w:p>
          <w:p>
            <w:pPr>
              <w:shd w:val="clear" w:fill="FFFFFF" w:themeFill="background1"/>
              <w:ind w:firstLine="422" w:firstLineChars="200"/>
              <w:outlineLvl w:val="2"/>
              <w:rPr>
                <w:rFonts w:hint="eastAsia" w:ascii="宋体" w:hAnsi="宋体" w:eastAsia="宋体" w:cs="宋体"/>
                <w:color w:val="auto"/>
                <w:highlight w:val="none"/>
              </w:rPr>
            </w:pPr>
            <w:r>
              <w:rPr>
                <w:rFonts w:hint="eastAsia" w:ascii="宋体" w:hAnsi="宋体" w:eastAsia="宋体" w:cs="宋体"/>
                <w:b/>
                <w:color w:val="auto"/>
                <w:highlight w:val="none"/>
              </w:rPr>
              <w:t>透空围墙东至城泉路西侧实体围墙、西至现有西侧透空围墙（西侧南段实体围墙拆除、清运工作由中标单位负责，费用含在投标总价中），具体起止点以现场实际为准。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9" w:hRule="atLeast"/>
          <w:jc w:val="center"/>
        </w:trPr>
        <w:tc>
          <w:tcPr>
            <w:tcW w:w="1033" w:type="dxa"/>
            <w:gridSpan w:val="2"/>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10.7.4</w:t>
            </w:r>
          </w:p>
        </w:tc>
        <w:tc>
          <w:tcPr>
            <w:tcW w:w="1187" w:type="dxa"/>
            <w:vAlign w:val="center"/>
          </w:tcPr>
          <w:p>
            <w:pPr>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补充</w:t>
            </w:r>
          </w:p>
        </w:tc>
        <w:tc>
          <w:tcPr>
            <w:tcW w:w="6852" w:type="dxa"/>
            <w:gridSpan w:val="2"/>
            <w:vAlign w:val="center"/>
          </w:tcPr>
          <w:p>
            <w:pPr>
              <w:shd w:val="clear" w:fill="FFFFFF" w:themeFill="background1"/>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1、第一中标候选人需在中标后签订合同前向招标人提供4套与投标时一致的投标文件，否则招标人有权取消其中标候选人资格。</w:t>
            </w:r>
          </w:p>
          <w:p>
            <w:pPr>
              <w:shd w:val="clear" w:fill="FFFFFF" w:themeFill="background1"/>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2、招标人有权组织约谈，约谈时间为评标结果公示结束后，中标通知书发放前。招标人对中标人进行约谈，约谈对象为企业法人或总经理及投标文件承诺的项目负责人，如中标人不按招标人要求参加约谈，招标人将取消其中标人资格，并没收投标保证金。</w:t>
            </w:r>
          </w:p>
          <w:p>
            <w:pPr>
              <w:shd w:val="clear" w:fill="FFFFFF" w:themeFill="background1"/>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3、中标单位进场施工后到工程质保期结束，招标人有权委托经双方共同认可的第三方检测单位在任何时间对工程进行检测，检测费用由中标单位承担。中标单位必须认可第三方检测单位所出具的检测结果，并接受招标人根据检测结果所发出的任何处理决定，否则视为中标单位违约，招标人有权解除合同，没收履约保证金，并保留要求赔偿损失的权利。</w:t>
            </w:r>
          </w:p>
          <w:p>
            <w:pPr>
              <w:shd w:val="clear" w:fill="FFFFFF" w:themeFill="background1"/>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4、农民工工资支付按阜阳市有关文件要求执行。需要预付费用由中标单位垫付。</w:t>
            </w:r>
          </w:p>
          <w:p>
            <w:pPr>
              <w:shd w:val="clear" w:fill="FFFFFF" w:themeFill="background1"/>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5、根据住房城乡建设部办公厅关于实施《危险性较大的分部分项工程安全管理规定》有关问题的通知（建办质〔2018〕31号）要求，本工程危险性较大的分部分项工程范围清单为：模板工程及支撑体系、脚手架工程、建筑幕墙安装工程等，投标单位在投标时应补充完善危大工程清单并明确相应的安全管理措施。中标单位按照建办质〔2018〕31号文件及《危险性较大的分部分项工程安全管理规定》（自2018年6月1日起施行）要求，编制《危险性较大的分部分项工程专项施工方案》，并组织召开专家论证会进行论证，形成论证报告，危险性较大的分部分项工程的施工、验收严格按照相关规范要求、《危险性较大的分部分项工程安全管理规定》及建办质〔2018〕31号文件要求实施。实施上述工作所产生的一切费用均由中标单位承担。</w:t>
            </w:r>
          </w:p>
        </w:tc>
      </w:tr>
    </w:tbl>
    <w:p>
      <w:pPr>
        <w:shd w:val="clear" w:fill="FFFFFF" w:themeFill="background1"/>
        <w:jc w:val="center"/>
        <w:outlineLvl w:val="0"/>
        <w:rPr>
          <w:rFonts w:hint="eastAsia" w:ascii="宋体" w:hAnsi="宋体" w:eastAsia="宋体" w:cs="宋体"/>
          <w:b/>
          <w:bCs/>
          <w:color w:val="auto"/>
          <w:sz w:val="32"/>
          <w:szCs w:val="32"/>
          <w:highlight w:val="none"/>
        </w:rPr>
      </w:pPr>
      <w:bookmarkStart w:id="39" w:name="_Toc29425"/>
      <w:bookmarkStart w:id="40" w:name="_Toc17457"/>
      <w:bookmarkStart w:id="41" w:name="_Toc152042305"/>
      <w:bookmarkStart w:id="42" w:name="_Toc144974497"/>
      <w:bookmarkStart w:id="43" w:name="_Toc179632546"/>
      <w:bookmarkStart w:id="44" w:name="_Toc152045529"/>
      <w:r>
        <w:rPr>
          <w:rFonts w:hint="eastAsia" w:ascii="宋体" w:hAnsi="宋体" w:eastAsia="宋体" w:cs="宋体"/>
          <w:b/>
          <w:bCs/>
          <w:color w:val="auto"/>
          <w:sz w:val="24"/>
          <w:highlight w:val="none"/>
        </w:rPr>
        <w:br w:type="page"/>
      </w:r>
      <w:r>
        <w:rPr>
          <w:rFonts w:hint="eastAsia" w:ascii="宋体" w:hAnsi="宋体" w:eastAsia="宋体" w:cs="宋体"/>
          <w:b/>
          <w:bCs/>
          <w:color w:val="auto"/>
          <w:sz w:val="32"/>
          <w:szCs w:val="32"/>
          <w:highlight w:val="none"/>
        </w:rPr>
        <w:t>投标人须知</w:t>
      </w:r>
      <w:bookmarkEnd w:id="39"/>
      <w:bookmarkEnd w:id="40"/>
    </w:p>
    <w:p>
      <w:pPr>
        <w:pStyle w:val="33"/>
        <w:keepNext w:val="0"/>
        <w:keepLines w:val="0"/>
        <w:shd w:val="clear" w:fill="FFFFFF" w:themeFill="background1"/>
        <w:spacing w:before="0" w:line="440" w:lineRule="exact"/>
        <w:rPr>
          <w:rFonts w:hint="eastAsia" w:ascii="宋体" w:hAnsi="宋体" w:eastAsia="宋体" w:cs="宋体"/>
          <w:b/>
          <w:bCs/>
          <w:color w:val="auto"/>
          <w:sz w:val="24"/>
          <w:szCs w:val="24"/>
          <w:highlight w:val="none"/>
        </w:rPr>
      </w:pPr>
      <w:bookmarkStart w:id="45" w:name="_Toc21045"/>
      <w:bookmarkStart w:id="46" w:name="_Toc1284"/>
      <w:r>
        <w:rPr>
          <w:rFonts w:hint="eastAsia" w:ascii="宋体" w:hAnsi="宋体" w:eastAsia="宋体" w:cs="宋体"/>
          <w:b/>
          <w:bCs/>
          <w:color w:val="auto"/>
          <w:sz w:val="24"/>
          <w:szCs w:val="24"/>
          <w:highlight w:val="none"/>
        </w:rPr>
        <w:t>1. 总则</w:t>
      </w:r>
      <w:bookmarkEnd w:id="41"/>
      <w:bookmarkEnd w:id="42"/>
      <w:bookmarkEnd w:id="43"/>
      <w:bookmarkEnd w:id="44"/>
      <w:bookmarkEnd w:id="45"/>
      <w:bookmarkEnd w:id="46"/>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bookmarkStart w:id="47" w:name="_Toc152042306"/>
      <w:bookmarkStart w:id="48" w:name="_Toc144974498"/>
      <w:bookmarkStart w:id="49" w:name="_Toc179632547"/>
      <w:bookmarkStart w:id="50" w:name="_Toc152045530"/>
      <w:r>
        <w:rPr>
          <w:rFonts w:hint="eastAsia" w:ascii="宋体" w:hAnsi="宋体" w:eastAsia="宋体" w:cs="宋体"/>
          <w:b/>
          <w:bCs/>
          <w:color w:val="auto"/>
          <w:highlight w:val="none"/>
        </w:rPr>
        <w:t>1.1 项目概况</w:t>
      </w:r>
      <w:bookmarkEnd w:id="47"/>
      <w:bookmarkEnd w:id="48"/>
      <w:bookmarkEnd w:id="49"/>
      <w:bookmarkEnd w:id="50"/>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1.1.1根据《中华人民共和国招标投标法》</w:t>
      </w:r>
      <w:ins w:id="0" w:author="作者" w:date="2017-06-01T15:54:00Z">
        <w:r>
          <w:rPr>
            <w:rFonts w:hint="eastAsia" w:ascii="宋体" w:hAnsi="宋体" w:eastAsia="宋体" w:cs="宋体"/>
            <w:color w:val="auto"/>
            <w:sz w:val="24"/>
            <w:szCs w:val="24"/>
            <w:highlight w:val="none"/>
            <w:u w:val="single"/>
          </w:rPr>
          <w:t>《中华人民共和国招标投标法实施条例》</w:t>
        </w:r>
      </w:ins>
      <w:r>
        <w:rPr>
          <w:rFonts w:hint="eastAsia" w:ascii="宋体" w:hAnsi="宋体" w:eastAsia="宋体" w:cs="宋体"/>
          <w:color w:val="auto"/>
          <w:sz w:val="24"/>
          <w:szCs w:val="24"/>
          <w:highlight w:val="none"/>
          <w:u w:val="single"/>
        </w:rPr>
        <w:t>、《中华人民共和国政府采购法》、《中华人民共和国政府采购法</w:t>
      </w:r>
      <w:ins w:id="1" w:author="作者" w:date="2017-06-01T15:54:00Z">
        <w:r>
          <w:rPr>
            <w:rFonts w:hint="eastAsia" w:ascii="宋体" w:hAnsi="宋体" w:eastAsia="宋体" w:cs="宋体"/>
            <w:color w:val="auto"/>
            <w:sz w:val="24"/>
            <w:szCs w:val="24"/>
            <w:highlight w:val="none"/>
            <w:u w:val="single"/>
          </w:rPr>
          <w:t>实施条例</w:t>
        </w:r>
      </w:ins>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等有关法律、法规和规章的规定，本招标项目已具备招标条件，现对本标段施工进行招标。</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本招标项目招标人：见投标人须知前附表。</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本标段政府采购技术合作单位：见投标人须知前附表。</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本招标项目名称：见投标人须知前附表。</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本标段建设地点：见投标人须知前附表。</w:t>
      </w:r>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bookmarkStart w:id="51" w:name="_Toc152042307"/>
      <w:bookmarkStart w:id="52" w:name="_Toc152045531"/>
      <w:bookmarkStart w:id="53" w:name="_Toc179632548"/>
      <w:bookmarkStart w:id="54" w:name="_Toc144974499"/>
      <w:r>
        <w:rPr>
          <w:rFonts w:hint="eastAsia" w:ascii="宋体" w:hAnsi="宋体" w:eastAsia="宋体" w:cs="宋体"/>
          <w:b/>
          <w:bCs/>
          <w:color w:val="auto"/>
          <w:highlight w:val="none"/>
        </w:rPr>
        <w:t>1.2 资金来源和落实情况</w:t>
      </w:r>
      <w:bookmarkEnd w:id="51"/>
      <w:bookmarkEnd w:id="52"/>
      <w:bookmarkEnd w:id="53"/>
      <w:bookmarkEnd w:id="54"/>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本招标项目的资金来源：见投标人须知前附表。</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本招标项目的出资比例：见投标人须知前附表。</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本招标项目的资金落实情况：见投标人须知前附表。</w:t>
      </w:r>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bookmarkStart w:id="55" w:name="_Toc144974500"/>
      <w:bookmarkStart w:id="56" w:name="_Toc152045532"/>
      <w:bookmarkStart w:id="57" w:name="_Toc179632549"/>
      <w:bookmarkStart w:id="58" w:name="_Toc152042308"/>
      <w:r>
        <w:rPr>
          <w:rFonts w:hint="eastAsia" w:ascii="宋体" w:hAnsi="宋体" w:eastAsia="宋体" w:cs="宋体"/>
          <w:b/>
          <w:bCs/>
          <w:color w:val="auto"/>
          <w:highlight w:val="none"/>
        </w:rPr>
        <w:t>1.3 招标范围、计划工期和质量要求</w:t>
      </w:r>
      <w:bookmarkEnd w:id="55"/>
      <w:bookmarkEnd w:id="56"/>
      <w:bookmarkEnd w:id="57"/>
      <w:bookmarkEnd w:id="58"/>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本次招标范围：见投标人须知前附表。</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本标段的计划工期：见投标人须知前附表。</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本项目的质量要求：见投标人须知前附表。</w:t>
      </w:r>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bookmarkStart w:id="59" w:name="_Toc144974502"/>
      <w:bookmarkStart w:id="60" w:name="_Toc152045534"/>
      <w:bookmarkStart w:id="61" w:name="_Toc179632551"/>
      <w:bookmarkStart w:id="62" w:name="_Toc152042310"/>
      <w:r>
        <w:rPr>
          <w:rFonts w:hint="eastAsia" w:ascii="宋体" w:hAnsi="宋体" w:eastAsia="宋体" w:cs="宋体"/>
          <w:b/>
          <w:bCs/>
          <w:color w:val="auto"/>
          <w:highlight w:val="none"/>
        </w:rPr>
        <w:t>1.4 投标人资格要求</w:t>
      </w:r>
      <w:bookmarkEnd w:id="59"/>
      <w:bookmarkEnd w:id="60"/>
      <w:bookmarkEnd w:id="61"/>
      <w:bookmarkEnd w:id="62"/>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1.4.1投标人应具备承担本标段施工的资质条件、能力等。</w:t>
      </w:r>
    </w:p>
    <w:p>
      <w:pPr>
        <w:numPr>
          <w:ilvl w:val="0"/>
          <w:numId w:val="1"/>
        </w:num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资质条件：见投标人须知前附表；</w:t>
      </w:r>
    </w:p>
    <w:p>
      <w:pPr>
        <w:numPr>
          <w:ilvl w:val="0"/>
          <w:numId w:val="1"/>
        </w:numPr>
        <w:shd w:val="clear" w:fill="FFFFFF" w:themeFill="background1"/>
        <w:spacing w:line="440" w:lineRule="exact"/>
        <w:ind w:firstLine="480" w:firstLineChars="200"/>
        <w:outlineLvl w:val="3"/>
        <w:rPr>
          <w:ins w:id="2" w:author="作者" w:date="1970-01-01T08:00:00Z"/>
          <w:rFonts w:hint="eastAsia" w:ascii="宋体" w:hAnsi="宋体" w:eastAsia="宋体" w:cs="宋体"/>
          <w:color w:val="auto"/>
          <w:sz w:val="24"/>
          <w:szCs w:val="24"/>
          <w:highlight w:val="none"/>
        </w:rPr>
      </w:pPr>
      <w:ins w:id="3" w:author="作者" w:date="2017-06-01T15:54:00Z">
        <w:r>
          <w:rPr>
            <w:rFonts w:hint="eastAsia" w:ascii="宋体" w:hAnsi="宋体" w:eastAsia="宋体" w:cs="宋体"/>
            <w:color w:val="auto"/>
            <w:sz w:val="24"/>
            <w:szCs w:val="24"/>
            <w:highlight w:val="none"/>
          </w:rPr>
          <w:t>业绩要求：见投标人须知前附表；</w:t>
        </w:r>
      </w:ins>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（3项目经理资格：见投标人须知前附表；</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（4）其他要求：见投标人须知前附表。</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1.4.2 投标人须知前附表规定接受联合体投标的，除应符合本章第1.4.1项和投标人须知前附表的要求外，还应遵守以下规定： </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（1）联合体各方应按招标文件提供的格式签订联合体协议书，明确联合体牵头人和各方权利义务；</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（2）由同一专业的单位组成的联合体，按照资质等级较低的单位确定资质等级； </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（3）联合体各方不得再以自己名义单独或参加其他联合体在同一项目中投标。</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1.4.3投标人不得存在下列情形之一：</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（1）为招标人不具有独立法人资格的附属机构（单位）； </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（2）为本标段前期准备提供设计或咨询服务的，但设计施工总承包的除外； </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（3）为本标段的监理人；</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（4）为本标段的代建人； </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（5）为本标段提供招标代理服务的； </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（6）与本标段的监理人或代建人或政府采购技术合作单位同为一个法定代表人的；</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（7）与本标段的监理人或代建人或政府采购技术合作单位相互控股或参股的；</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（8）与本标段的监理人或代建人或政府采购技术合作单位相互任职或工作的；</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（9）被行政主管部门或监督管理部门暂停或取消公共资源交易（包括工程建设、政府采购、产权交易、土地及矿产交易）资格且在限制期内的；</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（10）近三年内因发生过拖欠农民工工资问题被行政主管部门记不良行为记录且在公示期内的； </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（11）单位负责人为同一人或者存在控股，管理关系的不同单位同时参加本次招标项目投标的。</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有以上情形之一参与投标的，无论是否中标均视为弄虚作假，骗取中标行为。</w:t>
      </w:r>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bookmarkStart w:id="63" w:name="_Toc152042311"/>
      <w:bookmarkStart w:id="64" w:name="_Toc179632552"/>
      <w:bookmarkStart w:id="65" w:name="_Toc144974503"/>
      <w:bookmarkStart w:id="66" w:name="_Toc152045535"/>
      <w:r>
        <w:rPr>
          <w:rFonts w:hint="eastAsia" w:ascii="宋体" w:hAnsi="宋体" w:eastAsia="宋体" w:cs="宋体"/>
          <w:b/>
          <w:bCs/>
          <w:color w:val="auto"/>
          <w:highlight w:val="none"/>
        </w:rPr>
        <w:t>1.5 费用承担</w:t>
      </w:r>
      <w:bookmarkEnd w:id="63"/>
      <w:bookmarkEnd w:id="64"/>
      <w:bookmarkEnd w:id="65"/>
      <w:bookmarkEnd w:id="66"/>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bookmarkStart w:id="67" w:name="_Toc152042312"/>
      <w:bookmarkStart w:id="68" w:name="_Toc144974504"/>
      <w:bookmarkStart w:id="69" w:name="_Toc179632553"/>
      <w:bookmarkStart w:id="70" w:name="_Toc152045536"/>
      <w:r>
        <w:rPr>
          <w:rFonts w:hint="eastAsia" w:ascii="宋体" w:hAnsi="宋体" w:eastAsia="宋体" w:cs="宋体"/>
          <w:snapToGrid w:val="0"/>
          <w:color w:val="auto"/>
          <w:sz w:val="24"/>
          <w:szCs w:val="24"/>
          <w:highlight w:val="none"/>
        </w:rPr>
        <w:t>1.5.1</w:t>
      </w:r>
      <w:r>
        <w:rPr>
          <w:rFonts w:hint="eastAsia" w:ascii="宋体" w:hAnsi="宋体" w:eastAsia="宋体" w:cs="宋体"/>
          <w:color w:val="auto"/>
          <w:sz w:val="24"/>
          <w:szCs w:val="24"/>
          <w:highlight w:val="none"/>
        </w:rPr>
        <w:t>投标人准备和参加投标活动发生的费用自理。</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1.5.2招标代理服务费：见投标人须知前附表。</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1.5.3工程量清单和最高投标限价编制费 ：见投标人须知前附表。。</w:t>
      </w:r>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1.6 保密</w:t>
      </w:r>
      <w:bookmarkEnd w:id="67"/>
      <w:bookmarkEnd w:id="68"/>
      <w:bookmarkEnd w:id="69"/>
      <w:bookmarkEnd w:id="70"/>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参与招标投标活动的各方应对招标文件和投标文件中的商业和技术等秘密保密，违者应对由此造成的后果承担法律责任。 </w:t>
      </w:r>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bookmarkStart w:id="71" w:name="_Toc144974505"/>
      <w:bookmarkStart w:id="72" w:name="_Toc152042313"/>
      <w:bookmarkStart w:id="73" w:name="_Toc179632554"/>
      <w:bookmarkStart w:id="74" w:name="_Toc152045537"/>
      <w:r>
        <w:rPr>
          <w:rFonts w:hint="eastAsia" w:ascii="宋体" w:hAnsi="宋体" w:eastAsia="宋体" w:cs="宋体"/>
          <w:b/>
          <w:bCs/>
          <w:color w:val="auto"/>
          <w:highlight w:val="none"/>
        </w:rPr>
        <w:t>1.7 语言</w:t>
      </w:r>
      <w:bookmarkEnd w:id="71"/>
      <w:r>
        <w:rPr>
          <w:rFonts w:hint="eastAsia" w:ascii="宋体" w:hAnsi="宋体" w:eastAsia="宋体" w:cs="宋体"/>
          <w:b/>
          <w:bCs/>
          <w:color w:val="auto"/>
          <w:highlight w:val="none"/>
        </w:rPr>
        <w:t>文字</w:t>
      </w:r>
      <w:bookmarkEnd w:id="72"/>
      <w:bookmarkEnd w:id="73"/>
      <w:bookmarkEnd w:id="74"/>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除专用术语外，与招标投标有关的语言均使用中文。必要时专用术语应附有中文注释。</w:t>
      </w:r>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bookmarkStart w:id="75" w:name="_Toc152042314"/>
      <w:bookmarkStart w:id="76" w:name="_Toc152045538"/>
      <w:bookmarkStart w:id="77" w:name="_Toc144974506"/>
      <w:bookmarkStart w:id="78" w:name="_Toc179632555"/>
      <w:r>
        <w:rPr>
          <w:rFonts w:hint="eastAsia" w:ascii="宋体" w:hAnsi="宋体" w:eastAsia="宋体" w:cs="宋体"/>
          <w:b/>
          <w:bCs/>
          <w:color w:val="auto"/>
          <w:highlight w:val="none"/>
        </w:rPr>
        <w:t>1.8 计量单位</w:t>
      </w:r>
      <w:bookmarkEnd w:id="75"/>
      <w:bookmarkEnd w:id="76"/>
      <w:bookmarkEnd w:id="77"/>
      <w:bookmarkEnd w:id="78"/>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bookmarkStart w:id="79" w:name="_Toc179632556"/>
      <w:bookmarkStart w:id="80" w:name="_Toc152042315"/>
      <w:bookmarkStart w:id="81" w:name="_Toc152045539"/>
      <w:bookmarkStart w:id="82" w:name="_Toc144974507"/>
      <w:r>
        <w:rPr>
          <w:rFonts w:hint="eastAsia" w:ascii="宋体" w:hAnsi="宋体" w:eastAsia="宋体" w:cs="宋体"/>
          <w:b/>
          <w:bCs/>
          <w:color w:val="auto"/>
          <w:highlight w:val="none"/>
        </w:rPr>
        <w:t>1.9 踏勘现场</w:t>
      </w:r>
      <w:bookmarkEnd w:id="79"/>
      <w:bookmarkEnd w:id="80"/>
      <w:bookmarkEnd w:id="81"/>
      <w:bookmarkEnd w:id="82"/>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1.9.1 投标人须知前附表规定组织踏勘现场的，招标人按投标人须知前附表规定的时间、地点组织投标人踏勘项目现场。 </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投标人踏勘现场发生的费用自理。</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除招标人的原因外，投标人自行负责在踏勘现场中所发生的人员伤亡和财产损失等。</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 招标人在踏勘现场中介绍的工程场地和相关的周边环境情况，供投标人在编制投标文件时参考，招标人不对投标人据此作出的判断和决策负责。</w:t>
      </w:r>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bookmarkStart w:id="83" w:name="_Toc152042316"/>
      <w:bookmarkStart w:id="84" w:name="_Toc152045540"/>
      <w:bookmarkStart w:id="85" w:name="_Toc144974508"/>
      <w:bookmarkStart w:id="86" w:name="_Toc179632557"/>
      <w:r>
        <w:rPr>
          <w:rFonts w:hint="eastAsia" w:ascii="宋体" w:hAnsi="宋体" w:eastAsia="宋体" w:cs="宋体"/>
          <w:b/>
          <w:bCs/>
          <w:color w:val="auto"/>
          <w:highlight w:val="none"/>
        </w:rPr>
        <w:t>1.10</w:t>
      </w:r>
      <w:bookmarkEnd w:id="83"/>
      <w:bookmarkEnd w:id="84"/>
      <w:bookmarkEnd w:id="85"/>
      <w:bookmarkEnd w:id="86"/>
      <w:bookmarkStart w:id="87" w:name="_Toc144974509"/>
      <w:bookmarkStart w:id="88" w:name="_Toc152045541"/>
      <w:bookmarkStart w:id="89" w:name="_Toc179632558"/>
      <w:bookmarkStart w:id="90" w:name="_Toc152042317"/>
      <w:r>
        <w:rPr>
          <w:rFonts w:hint="eastAsia" w:ascii="宋体" w:hAnsi="宋体" w:eastAsia="宋体" w:cs="宋体"/>
          <w:b/>
          <w:bCs/>
          <w:color w:val="auto"/>
          <w:highlight w:val="none"/>
        </w:rPr>
        <w:t xml:space="preserve"> 投标预备会</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投标人须知前附表规定召开投标预备会的，招标人按投标人须知前附表规定的时间和地点召开投标预备会，澄清投标人提出的问题。</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 投标人应在投标人须知前附表规定的时间前，以书面形式将提出的问题送达招标人，以便招标人在会议期间澄清。</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 投标预备会后，招标人在投标人须知前附表规定的时间内，将对投标人所提问题的澄清，以</w:t>
      </w:r>
      <w:ins w:id="4" w:author="作者" w:date="2017-06-01T15:54:00Z">
        <w:r>
          <w:rPr>
            <w:rFonts w:hint="eastAsia" w:ascii="宋体" w:hAnsi="宋体" w:eastAsia="宋体" w:cs="宋体"/>
            <w:color w:val="auto"/>
            <w:sz w:val="24"/>
            <w:szCs w:val="24"/>
            <w:highlight w:val="none"/>
          </w:rPr>
          <w:t>在发布招标公告的网站发布</w:t>
        </w:r>
      </w:ins>
      <w:r>
        <w:rPr>
          <w:rFonts w:hint="eastAsia" w:ascii="宋体" w:hAnsi="宋体" w:eastAsia="宋体" w:cs="宋体"/>
          <w:color w:val="auto"/>
          <w:sz w:val="24"/>
          <w:szCs w:val="24"/>
          <w:highlight w:val="none"/>
        </w:rPr>
        <w:t>公告的方式通知所有潜在投标人。该澄清内容为招标文件的组成部分。</w:t>
      </w:r>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1.11 分包</w:t>
      </w:r>
      <w:bookmarkEnd w:id="87"/>
      <w:bookmarkEnd w:id="88"/>
      <w:bookmarkEnd w:id="89"/>
      <w:bookmarkEnd w:id="90"/>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投标人拟在中标后将中标项目的部分非主体、非关键性工作进行分包的，应符合投标人须知前附表规定的分包内容、分包金额和接受分包的第三人资质要求等限制性条件。</w:t>
      </w:r>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bookmarkStart w:id="91" w:name="_Toc179632559"/>
      <w:r>
        <w:rPr>
          <w:rFonts w:hint="eastAsia" w:ascii="宋体" w:hAnsi="宋体" w:eastAsia="宋体" w:cs="宋体"/>
          <w:b/>
          <w:bCs/>
          <w:color w:val="auto"/>
          <w:highlight w:val="none"/>
        </w:rPr>
        <w:t>1.12 偏离</w:t>
      </w:r>
      <w:bookmarkEnd w:id="91"/>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投标人须知前附表允许投标文件偏离招标文件某些要求的，偏离应当符合招标文件规定的偏离范围和幅度。</w:t>
      </w:r>
    </w:p>
    <w:p>
      <w:pPr>
        <w:pStyle w:val="33"/>
        <w:keepNext w:val="0"/>
        <w:keepLines w:val="0"/>
        <w:shd w:val="clear" w:fill="FFFFFF" w:themeFill="background1"/>
        <w:spacing w:before="0" w:line="440" w:lineRule="exact"/>
        <w:rPr>
          <w:rFonts w:hint="eastAsia" w:ascii="宋体" w:hAnsi="宋体" w:eastAsia="宋体" w:cs="宋体"/>
          <w:b/>
          <w:bCs/>
          <w:color w:val="auto"/>
          <w:sz w:val="24"/>
          <w:szCs w:val="24"/>
          <w:highlight w:val="none"/>
        </w:rPr>
      </w:pPr>
      <w:bookmarkStart w:id="92" w:name="_Toc144974510"/>
      <w:bookmarkStart w:id="93" w:name="_Toc152045542"/>
      <w:bookmarkStart w:id="94" w:name="_Toc179632560"/>
      <w:bookmarkStart w:id="95" w:name="_Toc15381"/>
      <w:bookmarkStart w:id="96" w:name="_Toc3468"/>
      <w:bookmarkStart w:id="97" w:name="_Toc152042318"/>
      <w:r>
        <w:rPr>
          <w:rFonts w:hint="eastAsia" w:ascii="宋体" w:hAnsi="宋体" w:eastAsia="宋体" w:cs="宋体"/>
          <w:b/>
          <w:bCs/>
          <w:color w:val="auto"/>
          <w:sz w:val="24"/>
          <w:szCs w:val="24"/>
          <w:highlight w:val="none"/>
        </w:rPr>
        <w:t>2. 招标文件</w:t>
      </w:r>
      <w:bookmarkEnd w:id="92"/>
      <w:bookmarkEnd w:id="93"/>
      <w:bookmarkEnd w:id="94"/>
      <w:bookmarkEnd w:id="95"/>
      <w:bookmarkEnd w:id="96"/>
      <w:bookmarkEnd w:id="97"/>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bookmarkStart w:id="98" w:name="_Toc179632561"/>
      <w:bookmarkStart w:id="99" w:name="_Toc144974511"/>
      <w:bookmarkStart w:id="100" w:name="_Toc152042319"/>
      <w:bookmarkStart w:id="101" w:name="_Toc152045543"/>
      <w:r>
        <w:rPr>
          <w:rFonts w:hint="eastAsia" w:ascii="宋体" w:hAnsi="宋体" w:eastAsia="宋体" w:cs="宋体"/>
          <w:b/>
          <w:bCs/>
          <w:color w:val="auto"/>
          <w:highlight w:val="none"/>
        </w:rPr>
        <w:t>2.1 招标文件的组成</w:t>
      </w:r>
      <w:bookmarkEnd w:id="98"/>
      <w:bookmarkEnd w:id="99"/>
      <w:bookmarkEnd w:id="100"/>
      <w:bookmarkEnd w:id="101"/>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本招标文件包括：</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（4）合同条款及格式；</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（5）工程量清单、最高投标限价 ；</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（6）图纸； </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（7）技术标准和要求； </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（8）投标文件格式；</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（9）投标人须知前附表规定的其它材料。</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bookmarkStart w:id="102" w:name="_Toc152042320"/>
      <w:bookmarkStart w:id="103" w:name="_Toc144974512"/>
      <w:bookmarkStart w:id="104" w:name="_Toc179632562"/>
      <w:bookmarkStart w:id="105" w:name="_Toc152045544"/>
      <w:bookmarkStart w:id="106" w:name="_Toc152042322"/>
      <w:bookmarkStart w:id="107" w:name="_Toc152045546"/>
      <w:bookmarkStart w:id="108" w:name="_Toc179632564"/>
      <w:bookmarkStart w:id="109" w:name="_Toc144974514"/>
      <w:r>
        <w:rPr>
          <w:rFonts w:hint="eastAsia" w:ascii="宋体" w:hAnsi="宋体" w:eastAsia="宋体" w:cs="宋体"/>
          <w:color w:val="auto"/>
          <w:sz w:val="24"/>
          <w:szCs w:val="24"/>
          <w:highlight w:val="none"/>
        </w:rPr>
        <w:t>根据本章第1.10款、第2.2款、第2.3款是对招标文件所作的澄清、修改，构成招标文件的组成部分, 招标文件及招标文件的澄清、修改前后不一致的，以最后发出的为准。</w:t>
      </w:r>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2.2 招标文件的</w:t>
      </w:r>
      <w:bookmarkEnd w:id="102"/>
      <w:bookmarkEnd w:id="103"/>
      <w:bookmarkEnd w:id="104"/>
      <w:bookmarkEnd w:id="105"/>
      <w:r>
        <w:rPr>
          <w:rFonts w:hint="eastAsia" w:ascii="宋体" w:hAnsi="宋体" w:eastAsia="宋体" w:cs="宋体"/>
          <w:b/>
          <w:bCs/>
          <w:color w:val="auto"/>
          <w:highlight w:val="none"/>
        </w:rPr>
        <w:t>异议答复</w:t>
      </w:r>
    </w:p>
    <w:p>
      <w:pPr>
        <w:pStyle w:val="34"/>
        <w:keepNext w:val="0"/>
        <w:keepLines w:val="0"/>
        <w:shd w:val="clear" w:fill="FFFFFF" w:themeFill="background1"/>
        <w:spacing w:line="440" w:lineRule="exact"/>
        <w:ind w:firstLine="480" w:firstLineChars="200"/>
        <w:rPr>
          <w:rFonts w:hint="eastAsia" w:ascii="宋体" w:hAnsi="宋体" w:eastAsia="宋体" w:cs="宋体"/>
          <w:b/>
          <w:bCs/>
          <w:color w:val="auto"/>
          <w:highlight w:val="none"/>
        </w:rPr>
      </w:pPr>
      <w:bookmarkStart w:id="110" w:name="_Toc179632563"/>
      <w:bookmarkStart w:id="111" w:name="_Toc144974513"/>
      <w:bookmarkStart w:id="112" w:name="_Toc152045545"/>
      <w:bookmarkStart w:id="113" w:name="_Toc152042321"/>
      <w:r>
        <w:rPr>
          <w:rFonts w:hint="eastAsia" w:ascii="宋体" w:hAnsi="宋体" w:eastAsia="宋体" w:cs="宋体"/>
          <w:color w:val="auto"/>
          <w:highlight w:val="none"/>
        </w:rPr>
        <w:t>见投标人须知前附表</w:t>
      </w:r>
      <w:r>
        <w:rPr>
          <w:rFonts w:hint="eastAsia" w:ascii="宋体" w:hAnsi="宋体" w:eastAsia="宋体" w:cs="宋体"/>
          <w:b/>
          <w:bCs/>
          <w:color w:val="auto"/>
          <w:highlight w:val="none"/>
        </w:rPr>
        <w:t xml:space="preserve">   </w:t>
      </w:r>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2.3 招标文件的澄清及修改</w:t>
      </w:r>
      <w:bookmarkEnd w:id="110"/>
      <w:bookmarkEnd w:id="111"/>
      <w:bookmarkEnd w:id="112"/>
      <w:bookmarkEnd w:id="113"/>
    </w:p>
    <w:p>
      <w:pPr>
        <w:shd w:val="clear" w:fill="FFFFFF" w:themeFill="background1"/>
        <w:spacing w:line="440" w:lineRule="exact"/>
        <w:ind w:firstLine="480" w:firstLineChars="200"/>
        <w:outlineLvl w:val="3"/>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见投标人须知前附表</w:t>
      </w:r>
      <w:r>
        <w:rPr>
          <w:rFonts w:hint="eastAsia" w:ascii="宋体" w:hAnsi="宋体" w:eastAsia="宋体" w:cs="宋体"/>
          <w:b/>
          <w:bCs/>
          <w:color w:val="auto"/>
          <w:sz w:val="24"/>
          <w:szCs w:val="24"/>
          <w:highlight w:val="none"/>
        </w:rPr>
        <w:t xml:space="preserve">  </w:t>
      </w:r>
    </w:p>
    <w:p>
      <w:pPr>
        <w:pStyle w:val="34"/>
        <w:keepNext w:val="0"/>
        <w:keepLines w:val="0"/>
        <w:shd w:val="clear" w:fill="FFFFFF" w:themeFill="background1"/>
        <w:spacing w:line="440" w:lineRule="exact"/>
        <w:outlineLvl w:val="1"/>
        <w:rPr>
          <w:rFonts w:hint="eastAsia" w:ascii="宋体" w:hAnsi="宋体" w:eastAsia="宋体" w:cs="宋体"/>
          <w:b/>
          <w:bCs/>
          <w:color w:val="auto"/>
          <w:highlight w:val="none"/>
        </w:rPr>
      </w:pPr>
      <w:bookmarkStart w:id="114" w:name="_Toc4341"/>
      <w:bookmarkStart w:id="115" w:name="_Toc8528"/>
      <w:r>
        <w:rPr>
          <w:rFonts w:hint="eastAsia" w:ascii="宋体" w:hAnsi="宋体" w:eastAsia="宋体" w:cs="宋体"/>
          <w:b/>
          <w:bCs/>
          <w:color w:val="auto"/>
          <w:highlight w:val="none"/>
        </w:rPr>
        <w:t>3. 投标文件</w:t>
      </w:r>
      <w:bookmarkEnd w:id="106"/>
      <w:bookmarkEnd w:id="107"/>
      <w:bookmarkEnd w:id="108"/>
      <w:bookmarkEnd w:id="109"/>
      <w:bookmarkEnd w:id="114"/>
      <w:bookmarkEnd w:id="115"/>
    </w:p>
    <w:p>
      <w:pPr>
        <w:pStyle w:val="34"/>
        <w:keepNext w:val="0"/>
        <w:keepLines w:val="0"/>
        <w:shd w:val="clear" w:fill="FFFFFF" w:themeFill="background1"/>
        <w:tabs>
          <w:tab w:val="left" w:pos="6140"/>
        </w:tabs>
        <w:spacing w:line="440" w:lineRule="exact"/>
        <w:ind w:firstLine="482" w:firstLineChars="200"/>
        <w:rPr>
          <w:rFonts w:hint="eastAsia" w:ascii="宋体" w:hAnsi="宋体" w:eastAsia="宋体" w:cs="宋体"/>
          <w:b/>
          <w:bCs/>
          <w:color w:val="auto"/>
          <w:highlight w:val="none"/>
        </w:rPr>
      </w:pPr>
      <w:bookmarkStart w:id="116" w:name="_Toc152042323"/>
      <w:bookmarkStart w:id="117" w:name="_Toc152045547"/>
      <w:bookmarkStart w:id="118" w:name="_Toc144974515"/>
      <w:bookmarkStart w:id="119" w:name="_Toc179632565"/>
      <w:r>
        <w:rPr>
          <w:rFonts w:hint="eastAsia" w:ascii="宋体" w:hAnsi="宋体" w:eastAsia="宋体" w:cs="宋体"/>
          <w:b/>
          <w:bCs/>
          <w:color w:val="auto"/>
          <w:highlight w:val="none"/>
        </w:rPr>
        <w:t>3.1.1 投标文件的组成</w:t>
      </w:r>
      <w:bookmarkEnd w:id="116"/>
      <w:bookmarkEnd w:id="117"/>
      <w:bookmarkEnd w:id="118"/>
      <w:bookmarkEnd w:id="119"/>
      <w:r>
        <w:rPr>
          <w:rFonts w:hint="eastAsia" w:ascii="宋体" w:hAnsi="宋体" w:eastAsia="宋体" w:cs="宋体"/>
          <w:b/>
          <w:bCs/>
          <w:color w:val="auto"/>
          <w:highlight w:val="none"/>
        </w:rPr>
        <w:tab/>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（1）投标函及附件；</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（2）授权委托书；</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（3）联合体协议书；</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（4）投标保证金；</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（5）投标报价表</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（6）项目管理机构；</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（7）拟分包项目情况表；</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（8）资格审查资料；</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（9）投标人须知前附表规定的其它材料。</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投标人须知前附表规定不接受联合体投标的或如投标人的法定代表人投标，不需授权委托书，投标文件不包括本章第3.1.1（2）目所指的授权委托书。</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 投标人须知前附表规定不接受联合体投标的,或投标人没有组成联合体的，投标文件不包括本章第3.1.1（3）目所指的联合体协议书。</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 投标人须知前附表规定允许分包的3.1.4 投标人须知前附表规定不允许分包的，或允许分包投标人没有分包的，投标文件不包括本章第3.1.1（7）目所指的拟分包项目情况表。</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3.1.5评标未采用综合评估法的，投标文件不包括本章第3.1.1（9）目所指的综合评审评审资料。 </w:t>
      </w:r>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bookmarkStart w:id="120" w:name="_Toc152045548"/>
      <w:bookmarkStart w:id="121" w:name="_Toc152042324"/>
      <w:bookmarkStart w:id="122" w:name="_Toc179632566"/>
      <w:bookmarkStart w:id="123" w:name="_Toc144974516"/>
      <w:r>
        <w:rPr>
          <w:rFonts w:hint="eastAsia" w:ascii="宋体" w:hAnsi="宋体" w:eastAsia="宋体" w:cs="宋体"/>
          <w:b/>
          <w:bCs/>
          <w:color w:val="auto"/>
          <w:highlight w:val="none"/>
        </w:rPr>
        <w:t>3.2 投标报价</w:t>
      </w:r>
      <w:bookmarkEnd w:id="120"/>
      <w:bookmarkEnd w:id="121"/>
      <w:bookmarkEnd w:id="122"/>
      <w:bookmarkEnd w:id="123"/>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投标人按投标函中的格式报价并填写投标报价表。 </w:t>
      </w:r>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bookmarkStart w:id="124" w:name="_Toc179632567"/>
      <w:bookmarkStart w:id="125" w:name="_Toc152042325"/>
      <w:bookmarkStart w:id="126" w:name="_Toc144974517"/>
      <w:bookmarkStart w:id="127" w:name="_Toc152045549"/>
      <w:r>
        <w:rPr>
          <w:rFonts w:hint="eastAsia" w:ascii="宋体" w:hAnsi="宋体" w:eastAsia="宋体" w:cs="宋体"/>
          <w:b/>
          <w:bCs/>
          <w:color w:val="auto"/>
          <w:highlight w:val="none"/>
        </w:rPr>
        <w:t>3.3 投标有效期</w:t>
      </w:r>
      <w:bookmarkEnd w:id="124"/>
      <w:bookmarkEnd w:id="125"/>
      <w:bookmarkEnd w:id="126"/>
      <w:bookmarkEnd w:id="127"/>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3.3.1在投标人须知前附表规定的投标有效期内，投标人不得要求撤销或修改其投标文件。</w:t>
      </w:r>
    </w:p>
    <w:p>
      <w:pPr>
        <w:shd w:val="clear" w:fill="FFFFFF" w:themeFill="background1"/>
        <w:spacing w:line="440" w:lineRule="exact"/>
        <w:ind w:firstLine="480" w:firstLineChars="200"/>
        <w:outlineLvl w:val="3"/>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bookmarkStart w:id="128" w:name="_Toc152042327"/>
      <w:bookmarkStart w:id="129" w:name="_Toc144974519"/>
      <w:bookmarkStart w:id="130" w:name="_Toc152045551"/>
      <w:bookmarkStart w:id="131" w:name="_Toc179632569"/>
      <w:r>
        <w:rPr>
          <w:rFonts w:hint="eastAsia" w:ascii="宋体" w:hAnsi="宋体" w:eastAsia="宋体" w:cs="宋体"/>
          <w:b/>
          <w:bCs/>
          <w:color w:val="auto"/>
          <w:highlight w:val="none"/>
        </w:rPr>
        <w:t>3.4 投标保证金</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投标人在递交投标文件的同时，应按投标人须知前附表规定的金额、担保形式递交投标保证金，并作为其投标文件的组成部分。联合体投标的，其投标保证金由牵头人递交，并应符合投标人须知前附表的规定。</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投标人不按本章第3.4.1项要求提交投标保证金的，其投标文件将被否决。</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投标保证金的退还：投标人的投标保证金最迟应当在书面合同签订备案后5日内由</w:t>
      </w:r>
      <w:r>
        <w:rPr>
          <w:rFonts w:hint="eastAsia" w:ascii="宋体" w:hAnsi="宋体" w:eastAsia="宋体" w:cs="宋体"/>
          <w:color w:val="auto"/>
          <w:sz w:val="24"/>
          <w:szCs w:val="24"/>
          <w:highlight w:val="none"/>
          <w:u w:val="single"/>
        </w:rPr>
        <w:t xml:space="preserve"> 阜阳市公共资源交易中心 </w:t>
      </w:r>
      <w:r>
        <w:rPr>
          <w:rFonts w:hint="eastAsia" w:ascii="宋体" w:hAnsi="宋体" w:eastAsia="宋体" w:cs="宋体"/>
          <w:color w:val="auto"/>
          <w:sz w:val="24"/>
          <w:szCs w:val="24"/>
          <w:highlight w:val="none"/>
        </w:rPr>
        <w:t xml:space="preserve">退还投标保证金。由招标人或政府采购技术合作单位代表招标人负责办理退还手续。 </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3.4.4 有下列情形之一的，投标保证金不予退还： </w:t>
      </w:r>
      <w:r>
        <w:rPr>
          <w:rFonts w:hint="eastAsia" w:ascii="宋体" w:hAnsi="宋体" w:eastAsia="宋体" w:cs="宋体"/>
          <w:color w:val="auto"/>
          <w:kern w:val="0"/>
          <w:sz w:val="24"/>
          <w:szCs w:val="24"/>
          <w:highlight w:val="none"/>
        </w:rPr>
        <w:t xml:space="preserve"> </w:t>
      </w:r>
    </w:p>
    <w:p>
      <w:pPr>
        <w:shd w:val="clear" w:fill="FFFFFF" w:themeFill="background1"/>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（1）投标人在规定的投标有效期内撤销或修改其投标文件；</w:t>
      </w:r>
    </w:p>
    <w:p>
      <w:pPr>
        <w:shd w:val="clear" w:fill="FFFFFF" w:themeFill="background1"/>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（2）中标人在收到中标通知书后，无正当理由拒签合同协议书或未按招标文件规定提交履约保证金；</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投标人提供虚假投标资料或虚假声明、承诺的。</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3.4.5</w:t>
      </w:r>
      <w:r>
        <w:rPr>
          <w:rFonts w:hint="eastAsia" w:ascii="宋体" w:hAnsi="宋体" w:eastAsia="宋体" w:cs="宋体"/>
          <w:bCs/>
          <w:color w:val="auto"/>
          <w:sz w:val="24"/>
          <w:szCs w:val="24"/>
          <w:highlight w:val="none"/>
        </w:rPr>
        <w:t xml:space="preserve"> 投标保证金的管理，按照</w:t>
      </w:r>
      <w:r>
        <w:rPr>
          <w:rFonts w:hint="eastAsia" w:ascii="宋体" w:hAnsi="宋体" w:eastAsia="宋体" w:cs="宋体"/>
          <w:color w:val="auto"/>
          <w:sz w:val="24"/>
          <w:szCs w:val="24"/>
          <w:highlight w:val="none"/>
        </w:rPr>
        <w:t>阜阳市人民政府办公室《关于印发阜阳市国有资金投资项目投标保证金管理暂行规定的通知》（</w:t>
      </w:r>
      <w:r>
        <w:rPr>
          <w:rFonts w:hint="eastAsia" w:ascii="宋体" w:hAnsi="宋体" w:eastAsia="宋体" w:cs="宋体"/>
          <w:bCs/>
          <w:color w:val="auto"/>
          <w:sz w:val="24"/>
          <w:szCs w:val="24"/>
          <w:highlight w:val="none"/>
        </w:rPr>
        <w:t xml:space="preserve">阜政办〔2015〕21号）办理。 </w:t>
      </w:r>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3.5 资格审查资料</w:t>
      </w:r>
      <w:bookmarkEnd w:id="128"/>
      <w:bookmarkEnd w:id="129"/>
      <w:bookmarkEnd w:id="130"/>
      <w:bookmarkEnd w:id="131"/>
    </w:p>
    <w:p>
      <w:pPr>
        <w:shd w:val="clear" w:fill="FFFFFF" w:themeFill="background1"/>
        <w:spacing w:line="440" w:lineRule="exact"/>
        <w:ind w:firstLine="480" w:firstLineChars="200"/>
        <w:outlineLvl w:val="3"/>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3.5.1 资格审查材料包括：投标人</w:t>
      </w:r>
      <w:r>
        <w:rPr>
          <w:rFonts w:hint="eastAsia" w:ascii="宋体" w:hAnsi="宋体" w:eastAsia="宋体" w:cs="宋体"/>
          <w:color w:val="auto"/>
          <w:kern w:val="0"/>
          <w:sz w:val="24"/>
          <w:szCs w:val="24"/>
          <w:highlight w:val="none"/>
        </w:rPr>
        <w:t>营业执照、资质证书和安全生产许可证、投标人基本帐户开户许可证 、投标保证金，项目经理的注册建造师证、安全生产考核合格证、项目经理无在建证明等</w:t>
      </w:r>
      <w:ins w:id="5" w:author="作者" w:date="2017-06-14T15:06:00Z">
        <w:r>
          <w:rPr>
            <w:rFonts w:hint="eastAsia" w:ascii="宋体" w:hAnsi="宋体" w:eastAsia="宋体" w:cs="宋体"/>
            <w:color w:val="auto"/>
            <w:kern w:val="0"/>
            <w:sz w:val="24"/>
            <w:szCs w:val="24"/>
            <w:highlight w:val="none"/>
          </w:rPr>
          <w:t>投标人须知前附表第1.4.1项规定的其他材料，以上证书、证件复印件加盖单位章装订在投标文件中。</w:t>
        </w:r>
      </w:ins>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 业绩要求：见投标人须知前附表。</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 其它要求：见投标人须知前附表。</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3.5.4派驻本工程的项目管理机构组织人员必须是本单位人员并满足要求，且人员配置需符合安徽省住房和城乡建设厅《建市（2014）186号》文件规定。</w:t>
      </w:r>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bookmarkStart w:id="132" w:name="_Toc152045553"/>
      <w:bookmarkStart w:id="133" w:name="_Toc179632571"/>
      <w:bookmarkStart w:id="134" w:name="_Toc152042329"/>
      <w:bookmarkStart w:id="135" w:name="_Toc144974521"/>
      <w:r>
        <w:rPr>
          <w:rFonts w:hint="eastAsia" w:ascii="宋体" w:hAnsi="宋体" w:eastAsia="宋体" w:cs="宋体"/>
          <w:b/>
          <w:bCs/>
          <w:color w:val="auto"/>
          <w:highlight w:val="none"/>
        </w:rPr>
        <w:t>3.6 备选投标方案</w:t>
      </w:r>
      <w:bookmarkEnd w:id="132"/>
      <w:bookmarkEnd w:id="133"/>
      <w:bookmarkEnd w:id="134"/>
      <w:bookmarkEnd w:id="135"/>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bookmarkStart w:id="136" w:name="_Toc144974522"/>
      <w:bookmarkStart w:id="137" w:name="_Toc179632572"/>
      <w:bookmarkStart w:id="138" w:name="_Toc152045554"/>
      <w:bookmarkStart w:id="139" w:name="_Toc152042330"/>
      <w:r>
        <w:rPr>
          <w:rFonts w:hint="eastAsia" w:ascii="宋体" w:hAnsi="宋体" w:eastAsia="宋体" w:cs="宋体"/>
          <w:b/>
          <w:bCs/>
          <w:color w:val="auto"/>
          <w:highlight w:val="none"/>
        </w:rPr>
        <w:t>3.7 投标文件的编制</w:t>
      </w:r>
      <w:bookmarkEnd w:id="136"/>
      <w:bookmarkEnd w:id="137"/>
      <w:bookmarkEnd w:id="138"/>
      <w:bookmarkEnd w:id="139"/>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3.7.1投标文件应按第八章“投标文件格式”进行编写，如有必要，可以增加附页，作为投标文件的组成部分。</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 投标文件应当对招标文件有关工期、投标有效期、质量要求、技术标准和要求、招标范围等实质性内容作出响应。</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3.7.3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 </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3.7.4投标文件的内容：电子版要求见投标人须知前附表</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3.7.5投标文件的内容：</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投标函及附件、授权委托书、联合体协议书、项目管理机构、拟分包项目情况表、资格审查资料、投标保证金、投标人须知前附表规定的其它材料。</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3.7.6 投标文件正本一份,副本数量见投标人须知前附表。正本和副本的封面上应清楚地标记“正本”或“副本”的字样。当副本和正本不一致时，以正本为准。</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3.7.7 投标文件的正本与副本应分别装订成册，具体装订要求见投标人须知前附表规定。</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3.7.8 投标文件中涉及到单位名称、投标人、项目经理、编制人等应填写单位名称或人员姓名，不得填写见商务标、技术标或第？页等形式。</w:t>
      </w:r>
    </w:p>
    <w:p>
      <w:pPr>
        <w:pStyle w:val="33"/>
        <w:keepNext w:val="0"/>
        <w:keepLines w:val="0"/>
        <w:shd w:val="clear" w:fill="FFFFFF" w:themeFill="background1"/>
        <w:spacing w:before="0" w:line="440" w:lineRule="exact"/>
        <w:rPr>
          <w:rFonts w:hint="eastAsia" w:ascii="宋体" w:hAnsi="宋体" w:eastAsia="宋体" w:cs="宋体"/>
          <w:b/>
          <w:bCs/>
          <w:color w:val="auto"/>
          <w:sz w:val="24"/>
          <w:szCs w:val="24"/>
          <w:highlight w:val="none"/>
        </w:rPr>
      </w:pPr>
      <w:bookmarkStart w:id="140" w:name="_Toc144974523"/>
      <w:bookmarkStart w:id="141" w:name="_Toc12301"/>
      <w:bookmarkStart w:id="142" w:name="_Toc152042331"/>
      <w:bookmarkStart w:id="143" w:name="_Toc152045555"/>
      <w:bookmarkStart w:id="144" w:name="_Toc179632573"/>
      <w:bookmarkStart w:id="145" w:name="_Toc24859"/>
      <w:r>
        <w:rPr>
          <w:rFonts w:hint="eastAsia" w:ascii="宋体" w:hAnsi="宋体" w:eastAsia="宋体" w:cs="宋体"/>
          <w:b/>
          <w:bCs/>
          <w:color w:val="auto"/>
          <w:sz w:val="24"/>
          <w:szCs w:val="24"/>
          <w:highlight w:val="none"/>
        </w:rPr>
        <w:t>4. 投标</w:t>
      </w:r>
      <w:bookmarkEnd w:id="140"/>
      <w:bookmarkEnd w:id="141"/>
      <w:bookmarkEnd w:id="142"/>
      <w:bookmarkEnd w:id="143"/>
      <w:bookmarkEnd w:id="144"/>
      <w:bookmarkEnd w:id="145"/>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bookmarkStart w:id="146" w:name="_Toc179632574"/>
      <w:bookmarkStart w:id="147" w:name="_Toc144974524"/>
      <w:bookmarkStart w:id="148" w:name="_Toc152045556"/>
      <w:bookmarkStart w:id="149" w:name="_Toc152042332"/>
      <w:r>
        <w:rPr>
          <w:rFonts w:hint="eastAsia" w:ascii="宋体" w:hAnsi="宋体" w:eastAsia="宋体" w:cs="宋体"/>
          <w:b/>
          <w:bCs/>
          <w:color w:val="auto"/>
          <w:highlight w:val="none"/>
        </w:rPr>
        <w:t>4.1 投标文件的密封和标记</w:t>
      </w:r>
      <w:bookmarkEnd w:id="146"/>
      <w:bookmarkEnd w:id="147"/>
      <w:bookmarkEnd w:id="148"/>
      <w:bookmarkEnd w:id="149"/>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4.1.1投标文件的正本与副本分开包装或集中包装均可。封套的封口处加贴封条，并在封套的封口处加盖投标人单位章。</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 投标文件的封套上应写明的其他内容见投标人须知前附表。</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 未按本章第4.1.1项或第4.1.2项要求密封，招标人不予接收。</w:t>
      </w:r>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bookmarkStart w:id="150" w:name="_Toc179632575"/>
      <w:bookmarkStart w:id="151" w:name="_Toc152045557"/>
      <w:bookmarkStart w:id="152" w:name="_Toc144974525"/>
      <w:bookmarkStart w:id="153" w:name="_Toc152042333"/>
      <w:r>
        <w:rPr>
          <w:rFonts w:hint="eastAsia" w:ascii="宋体" w:hAnsi="宋体" w:eastAsia="宋体" w:cs="宋体"/>
          <w:b/>
          <w:bCs/>
          <w:color w:val="auto"/>
          <w:highlight w:val="none"/>
        </w:rPr>
        <w:t>4.2 投标文件的递交</w:t>
      </w:r>
      <w:bookmarkEnd w:id="150"/>
      <w:bookmarkEnd w:id="151"/>
      <w:bookmarkEnd w:id="152"/>
      <w:bookmarkEnd w:id="153"/>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4.2.1投标人递交投标文件截止时间：见投标人须知前附表。</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4.2.2投标人递交投标文件的地点：见投标人须知前附表。</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4.2.3除投标人须知前附表另有规定外，投标人所递交的投标文件不予退还。</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4.2.4投标人递交投标文件后，由该项目的法定代表人或其委托代理人在投标文件接收表上签字确认。</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4.2.5逾期送达的或者未送达指定地点的投标文件，招标人不予受理。</w:t>
      </w:r>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bookmarkStart w:id="154" w:name="_Toc179632576"/>
      <w:bookmarkStart w:id="155" w:name="_Toc152042334"/>
      <w:bookmarkStart w:id="156" w:name="_Toc144974526"/>
      <w:bookmarkStart w:id="157" w:name="_Toc152045558"/>
      <w:r>
        <w:rPr>
          <w:rFonts w:hint="eastAsia" w:ascii="宋体" w:hAnsi="宋体" w:eastAsia="宋体" w:cs="宋体"/>
          <w:b/>
          <w:bCs/>
          <w:color w:val="auto"/>
          <w:highlight w:val="none"/>
        </w:rPr>
        <w:t>4.3 投标文件的修改与撤回</w:t>
      </w:r>
      <w:bookmarkEnd w:id="154"/>
      <w:bookmarkEnd w:id="155"/>
      <w:bookmarkEnd w:id="156"/>
      <w:bookmarkEnd w:id="157"/>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 在本章第4.2.1项规定的投标截止时间前，投标人可以修改或撤回已递交的投标文件，但应以书面形式通知招标人。</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 投标人修改或撤回已递交投标文件的书面通知应按照本章第3.7.3项的要求签字或盖章。由该项目的法定代表人或其委托代理人在投标文件递交确认书上签字确认。</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 修改的内容为投标文件的组成部分。修改的投标文件应按照本章第3条、第4条规定进行编制、密封、标记和递交，并标明“修改”字样。</w:t>
      </w:r>
    </w:p>
    <w:p>
      <w:pPr>
        <w:pStyle w:val="33"/>
        <w:keepNext w:val="0"/>
        <w:keepLines w:val="0"/>
        <w:shd w:val="clear" w:fill="FFFFFF" w:themeFill="background1"/>
        <w:spacing w:before="0" w:line="440" w:lineRule="exact"/>
        <w:rPr>
          <w:rFonts w:hint="eastAsia" w:ascii="宋体" w:hAnsi="宋体" w:eastAsia="宋体" w:cs="宋体"/>
          <w:b/>
          <w:bCs/>
          <w:color w:val="auto"/>
          <w:sz w:val="24"/>
          <w:szCs w:val="24"/>
          <w:highlight w:val="none"/>
        </w:rPr>
      </w:pPr>
      <w:bookmarkStart w:id="158" w:name="_Toc5579"/>
      <w:bookmarkStart w:id="159" w:name="_Toc179632577"/>
      <w:bookmarkStart w:id="160" w:name="_Toc2854"/>
      <w:bookmarkStart w:id="161" w:name="_Toc152042335"/>
      <w:bookmarkStart w:id="162" w:name="_Toc144974527"/>
      <w:bookmarkStart w:id="163" w:name="_Toc152045559"/>
      <w:r>
        <w:rPr>
          <w:rFonts w:hint="eastAsia" w:ascii="宋体" w:hAnsi="宋体" w:eastAsia="宋体" w:cs="宋体"/>
          <w:b/>
          <w:color w:val="auto"/>
          <w:sz w:val="24"/>
          <w:szCs w:val="24"/>
          <w:highlight w:val="none"/>
        </w:rPr>
        <w:t>5. 开标</w:t>
      </w:r>
      <w:bookmarkEnd w:id="158"/>
      <w:bookmarkEnd w:id="159"/>
      <w:bookmarkEnd w:id="160"/>
      <w:bookmarkEnd w:id="161"/>
      <w:bookmarkEnd w:id="162"/>
      <w:bookmarkEnd w:id="163"/>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5.1 开标时间和地点</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招标人在投标人须知前附表规定的时间和地点公开开标。</w:t>
      </w:r>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5.2 开标程序</w:t>
      </w:r>
    </w:p>
    <w:p>
      <w:pPr>
        <w:shd w:val="clear" w:fill="FFFFFF" w:themeFill="background1"/>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5.2.1主持人按下列程序进行开标：</w:t>
      </w:r>
    </w:p>
    <w:p>
      <w:pPr>
        <w:pStyle w:val="35"/>
        <w:widowControl w:val="0"/>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（1）宣布开标纪律；</w:t>
      </w:r>
    </w:p>
    <w:p>
      <w:pPr>
        <w:pStyle w:val="35"/>
        <w:widowControl w:val="0"/>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（2）公布在投标截止时间前递交投标文件的标段名称、投标人名称；</w:t>
      </w:r>
    </w:p>
    <w:p>
      <w:pPr>
        <w:pStyle w:val="35"/>
        <w:widowControl w:val="0"/>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（3）宣布开标人、唱标人、记录人等有关人员姓名；</w:t>
      </w:r>
    </w:p>
    <w:p>
      <w:pPr>
        <w:pStyle w:val="35"/>
        <w:widowControl w:val="0"/>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（4）按照投标人须知前附表规定检查投标文件的密封情况；</w:t>
      </w:r>
    </w:p>
    <w:p>
      <w:pPr>
        <w:pStyle w:val="35"/>
        <w:widowControl w:val="0"/>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（5）按照宣布的开标顺序当众开标，公布投标人名称、标段名称、投标报价、质量标准、工期及其他内容，并现场记录；</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（6）评标办法规定需要抽取下浮点的抽取下浮点；</w:t>
      </w:r>
    </w:p>
    <w:p>
      <w:pPr>
        <w:shd w:val="clear" w:fill="FFFFFF" w:themeFill="background1"/>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根据招标文件规定的D值选取好</w:t>
      </w:r>
      <w:r>
        <w:rPr>
          <w:rFonts w:hint="eastAsia" w:ascii="宋体" w:hAnsi="宋体" w:eastAsia="宋体" w:cs="宋体"/>
          <w:bCs/>
          <w:color w:val="auto"/>
          <w:sz w:val="24"/>
          <w:szCs w:val="24"/>
          <w:highlight w:val="none"/>
          <w:u w:val="single"/>
        </w:rPr>
        <w:t xml:space="preserve"> 5 </w:t>
      </w:r>
      <w:r>
        <w:rPr>
          <w:rFonts w:hint="eastAsia" w:ascii="宋体" w:hAnsi="宋体" w:eastAsia="宋体" w:cs="宋体"/>
          <w:bCs/>
          <w:color w:val="auto"/>
          <w:sz w:val="24"/>
          <w:szCs w:val="24"/>
          <w:highlight w:val="none"/>
        </w:rPr>
        <w:t>个签号，数字序号</w:t>
      </w:r>
      <w:r>
        <w:rPr>
          <w:rFonts w:hint="eastAsia" w:ascii="宋体" w:hAnsi="宋体" w:eastAsia="宋体" w:cs="宋体"/>
          <w:bCs/>
          <w:color w:val="auto"/>
          <w:sz w:val="24"/>
          <w:szCs w:val="24"/>
          <w:highlight w:val="none"/>
          <w:u w:val="single"/>
        </w:rPr>
        <w:t xml:space="preserve"> 1、2、3、4、5 </w:t>
      </w:r>
      <w:r>
        <w:rPr>
          <w:rFonts w:hint="eastAsia" w:ascii="宋体" w:hAnsi="宋体" w:eastAsia="宋体" w:cs="宋体"/>
          <w:bCs/>
          <w:color w:val="auto"/>
          <w:sz w:val="24"/>
          <w:szCs w:val="24"/>
          <w:highlight w:val="none"/>
        </w:rPr>
        <w:t>分别对应待抽取的</w:t>
      </w:r>
      <w:r>
        <w:rPr>
          <w:rFonts w:hint="eastAsia" w:ascii="宋体" w:hAnsi="宋体" w:eastAsia="宋体" w:cs="宋体"/>
          <w:bCs/>
          <w:color w:val="auto"/>
          <w:sz w:val="24"/>
          <w:szCs w:val="24"/>
          <w:highlight w:val="none"/>
          <w:u w:val="single"/>
        </w:rPr>
        <w:t xml:space="preserve">  5 </w:t>
      </w:r>
      <w:r>
        <w:rPr>
          <w:rFonts w:hint="eastAsia" w:ascii="宋体" w:hAnsi="宋体" w:eastAsia="宋体" w:cs="宋体"/>
          <w:bCs/>
          <w:color w:val="auto"/>
          <w:sz w:val="24"/>
          <w:szCs w:val="24"/>
          <w:highlight w:val="none"/>
        </w:rPr>
        <w:t>个系数（具体见下表），由招标人随机抽取的投标人</w:t>
      </w:r>
      <w:r>
        <w:rPr>
          <w:rFonts w:hint="eastAsia" w:ascii="宋体" w:hAnsi="宋体" w:eastAsia="宋体" w:cs="宋体"/>
          <w:bCs/>
          <w:color w:val="auto"/>
          <w:sz w:val="24"/>
          <w:szCs w:val="24"/>
          <w:highlight w:val="none"/>
          <w:lang w:eastAsia="zh-CN"/>
        </w:rPr>
        <w:t>的</w:t>
      </w:r>
      <w:r>
        <w:rPr>
          <w:rFonts w:hint="eastAsia" w:ascii="宋体" w:hAnsi="宋体" w:eastAsia="宋体" w:cs="宋体"/>
          <w:bCs/>
          <w:color w:val="auto"/>
          <w:sz w:val="24"/>
          <w:szCs w:val="24"/>
          <w:highlight w:val="none"/>
        </w:rPr>
        <w:t>法定代表人（或其授权委托代理人）进行抽取，当众公布并在开标记录表上签字确认。（抽取下浮点的需要）</w:t>
      </w:r>
    </w:p>
    <w:p>
      <w:pPr>
        <w:shd w:val="clear" w:fill="FFFFFF" w:themeFill="background1"/>
        <w:spacing w:line="440" w:lineRule="exact"/>
        <w:ind w:firstLine="480" w:firstLineChars="20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D值选取表</w:t>
      </w:r>
    </w:p>
    <w:tbl>
      <w:tblPr>
        <w:tblStyle w:val="31"/>
        <w:tblW w:w="634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3"/>
        <w:gridCol w:w="4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53" w:type="dxa"/>
          </w:tcPr>
          <w:p>
            <w:pPr>
              <w:shd w:val="clear" w:fill="FFFFFF" w:themeFill="background1"/>
              <w:jc w:val="center"/>
              <w:rPr>
                <w:rFonts w:hint="eastAsia" w:ascii="宋体" w:hAnsi="宋体" w:eastAsia="宋体" w:cs="宋体"/>
                <w:bCs/>
                <w:color w:val="auto"/>
                <w:highlight w:val="none"/>
              </w:rPr>
            </w:pPr>
            <w:r>
              <w:rPr>
                <w:rFonts w:hint="eastAsia" w:ascii="宋体" w:hAnsi="宋体" w:eastAsia="宋体" w:cs="宋体"/>
                <w:bCs/>
                <w:color w:val="auto"/>
                <w:highlight w:val="none"/>
              </w:rPr>
              <w:t>序号</w:t>
            </w:r>
          </w:p>
        </w:tc>
        <w:tc>
          <w:tcPr>
            <w:tcW w:w="4192" w:type="dxa"/>
          </w:tcPr>
          <w:p>
            <w:pPr>
              <w:shd w:val="clear" w:fill="FFFFFF" w:themeFill="background1"/>
              <w:jc w:val="center"/>
              <w:rPr>
                <w:rFonts w:hint="eastAsia" w:ascii="宋体" w:hAnsi="宋体" w:eastAsia="宋体" w:cs="宋体"/>
                <w:bCs/>
                <w:color w:val="auto"/>
                <w:highlight w:val="none"/>
              </w:rPr>
            </w:pPr>
            <w:r>
              <w:rPr>
                <w:rFonts w:hint="eastAsia" w:ascii="宋体" w:hAnsi="宋体" w:eastAsia="宋体" w:cs="宋体"/>
                <w:bCs/>
                <w:color w:val="auto"/>
                <w:highlight w:val="none"/>
              </w:rPr>
              <w:t>下浮点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53" w:type="dxa"/>
          </w:tcPr>
          <w:p>
            <w:pPr>
              <w:shd w:val="clear" w:fill="FFFFFF" w:themeFill="background1"/>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tc>
        <w:tc>
          <w:tcPr>
            <w:tcW w:w="4192" w:type="dxa"/>
          </w:tcPr>
          <w:p>
            <w:pPr>
              <w:shd w:val="clear" w:fill="FFFFFF" w:themeFill="background1"/>
              <w:jc w:val="center"/>
              <w:rPr>
                <w:rFonts w:hint="eastAsia" w:ascii="宋体" w:hAnsi="宋体" w:eastAsia="宋体" w:cs="宋体"/>
                <w:bCs/>
                <w:color w:val="auto"/>
                <w:highlight w:val="none"/>
              </w:rPr>
            </w:pPr>
            <w:r>
              <w:rPr>
                <w:rFonts w:hint="eastAsia" w:ascii="宋体" w:hAnsi="宋体" w:eastAsia="宋体" w:cs="宋体"/>
                <w:bCs/>
                <w:color w:val="auto"/>
                <w:highlight w:val="none"/>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53" w:type="dxa"/>
          </w:tcPr>
          <w:p>
            <w:pPr>
              <w:shd w:val="clear" w:fill="FFFFFF" w:themeFill="background1"/>
              <w:jc w:val="center"/>
              <w:rPr>
                <w:rFonts w:hint="eastAsia" w:ascii="宋体" w:hAnsi="宋体" w:eastAsia="宋体" w:cs="宋体"/>
                <w:bCs/>
                <w:color w:val="auto"/>
                <w:highlight w:val="none"/>
              </w:rPr>
            </w:pPr>
            <w:r>
              <w:rPr>
                <w:rFonts w:hint="eastAsia" w:ascii="宋体" w:hAnsi="宋体" w:eastAsia="宋体" w:cs="宋体"/>
                <w:bCs/>
                <w:color w:val="auto"/>
                <w:highlight w:val="none"/>
              </w:rPr>
              <w:t>2</w:t>
            </w:r>
          </w:p>
        </w:tc>
        <w:tc>
          <w:tcPr>
            <w:tcW w:w="4192" w:type="dxa"/>
          </w:tcPr>
          <w:p>
            <w:pPr>
              <w:shd w:val="clear" w:fill="FFFFFF" w:themeFill="background1"/>
              <w:jc w:val="center"/>
              <w:rPr>
                <w:rFonts w:hint="eastAsia" w:ascii="宋体" w:hAnsi="宋体" w:eastAsia="宋体" w:cs="宋体"/>
                <w:bCs/>
                <w:color w:val="auto"/>
                <w:highlight w:val="none"/>
              </w:rPr>
            </w:pPr>
            <w:r>
              <w:rPr>
                <w:rFonts w:hint="eastAsia" w:ascii="宋体" w:hAnsi="宋体" w:eastAsia="宋体" w:cs="宋体"/>
                <w:bCs/>
                <w:color w:val="auto"/>
                <w:highlight w:val="none"/>
              </w:rPr>
              <w:t xml:space="preserve">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2153" w:type="dxa"/>
          </w:tcPr>
          <w:p>
            <w:pPr>
              <w:shd w:val="clear" w:fill="FFFFFF" w:themeFill="background1"/>
              <w:jc w:val="center"/>
              <w:rPr>
                <w:rFonts w:hint="eastAsia" w:ascii="宋体" w:hAnsi="宋体" w:eastAsia="宋体" w:cs="宋体"/>
                <w:bCs/>
                <w:color w:val="auto"/>
                <w:highlight w:val="none"/>
              </w:rPr>
            </w:pPr>
            <w:r>
              <w:rPr>
                <w:rFonts w:hint="eastAsia" w:ascii="宋体" w:hAnsi="宋体" w:eastAsia="宋体" w:cs="宋体"/>
                <w:bCs/>
                <w:color w:val="auto"/>
                <w:highlight w:val="none"/>
              </w:rPr>
              <w:t>3</w:t>
            </w:r>
          </w:p>
        </w:tc>
        <w:tc>
          <w:tcPr>
            <w:tcW w:w="4192" w:type="dxa"/>
          </w:tcPr>
          <w:p>
            <w:pPr>
              <w:shd w:val="clear" w:fill="FFFFFF" w:themeFill="background1"/>
              <w:jc w:val="center"/>
              <w:rPr>
                <w:rFonts w:hint="eastAsia" w:ascii="宋体" w:hAnsi="宋体" w:eastAsia="宋体" w:cs="宋体"/>
                <w:bCs/>
                <w:color w:val="auto"/>
                <w:highlight w:val="none"/>
              </w:rPr>
            </w:pPr>
            <w:r>
              <w:rPr>
                <w:rFonts w:hint="eastAsia" w:ascii="宋体" w:hAnsi="宋体" w:eastAsia="宋体" w:cs="宋体"/>
                <w:bCs/>
                <w:color w:val="auto"/>
                <w:highlight w:val="none"/>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53" w:type="dxa"/>
          </w:tcPr>
          <w:p>
            <w:pPr>
              <w:shd w:val="clear" w:fill="FFFFFF" w:themeFill="background1"/>
              <w:jc w:val="center"/>
              <w:rPr>
                <w:rFonts w:hint="eastAsia" w:ascii="宋体" w:hAnsi="宋体" w:eastAsia="宋体" w:cs="宋体"/>
                <w:bCs/>
                <w:color w:val="auto"/>
                <w:highlight w:val="none"/>
              </w:rPr>
            </w:pPr>
            <w:r>
              <w:rPr>
                <w:rFonts w:hint="eastAsia" w:ascii="宋体" w:hAnsi="宋体" w:eastAsia="宋体" w:cs="宋体"/>
                <w:bCs/>
                <w:color w:val="auto"/>
                <w:highlight w:val="none"/>
              </w:rPr>
              <w:t>4</w:t>
            </w:r>
          </w:p>
        </w:tc>
        <w:tc>
          <w:tcPr>
            <w:tcW w:w="4192" w:type="dxa"/>
          </w:tcPr>
          <w:p>
            <w:pPr>
              <w:shd w:val="clear" w:fill="FFFFFF" w:themeFill="background1"/>
              <w:jc w:val="center"/>
              <w:rPr>
                <w:rFonts w:hint="eastAsia" w:ascii="宋体" w:hAnsi="宋体" w:eastAsia="宋体" w:cs="宋体"/>
                <w:bCs/>
                <w:color w:val="auto"/>
                <w:highlight w:val="none"/>
              </w:rPr>
            </w:pPr>
            <w:r>
              <w:rPr>
                <w:rFonts w:hint="eastAsia" w:ascii="宋体" w:hAnsi="宋体" w:eastAsia="宋体" w:cs="宋体"/>
                <w:bCs/>
                <w:color w:val="auto"/>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53" w:type="dxa"/>
          </w:tcPr>
          <w:p>
            <w:pPr>
              <w:shd w:val="clear" w:fill="FFFFFF" w:themeFill="background1"/>
              <w:jc w:val="center"/>
              <w:rPr>
                <w:rFonts w:hint="eastAsia" w:ascii="宋体" w:hAnsi="宋体" w:eastAsia="宋体" w:cs="宋体"/>
                <w:bCs/>
                <w:color w:val="auto"/>
                <w:highlight w:val="none"/>
              </w:rPr>
            </w:pPr>
            <w:r>
              <w:rPr>
                <w:rFonts w:hint="eastAsia" w:ascii="宋体" w:hAnsi="宋体" w:eastAsia="宋体" w:cs="宋体"/>
                <w:bCs/>
                <w:color w:val="auto"/>
                <w:highlight w:val="none"/>
              </w:rPr>
              <w:t>5</w:t>
            </w:r>
          </w:p>
        </w:tc>
        <w:tc>
          <w:tcPr>
            <w:tcW w:w="4192" w:type="dxa"/>
          </w:tcPr>
          <w:p>
            <w:pPr>
              <w:shd w:val="clear" w:fill="FFFFFF" w:themeFill="background1"/>
              <w:jc w:val="center"/>
              <w:rPr>
                <w:rFonts w:hint="eastAsia" w:ascii="宋体" w:hAnsi="宋体" w:eastAsia="宋体" w:cs="宋体"/>
                <w:bCs/>
                <w:color w:val="auto"/>
                <w:highlight w:val="none"/>
              </w:rPr>
            </w:pPr>
            <w:r>
              <w:rPr>
                <w:rFonts w:hint="eastAsia" w:ascii="宋体" w:hAnsi="宋体" w:eastAsia="宋体" w:cs="宋体"/>
                <w:bCs/>
                <w:color w:val="auto"/>
                <w:sz w:val="18"/>
                <w:szCs w:val="18"/>
                <w:highlight w:val="none"/>
              </w:rPr>
              <w:t>5%</w:t>
            </w:r>
          </w:p>
        </w:tc>
      </w:tr>
    </w:tbl>
    <w:p>
      <w:pPr>
        <w:pStyle w:val="35"/>
        <w:widowControl w:val="0"/>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（7）投标人代表、招标人代表、记录人等有关人员在开标记录上签字确认；</w:t>
      </w:r>
    </w:p>
    <w:p>
      <w:pPr>
        <w:pStyle w:val="35"/>
        <w:widowControl w:val="0"/>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（8）公布投标人投标保证金递交情况</w:t>
      </w:r>
    </w:p>
    <w:p>
      <w:pPr>
        <w:pStyle w:val="35"/>
        <w:widowControl w:val="0"/>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（9）征询各投标人对开标过程有无异议，如有异议可现场由法定代表人或其委托代理人书面提出，如无异议，则后期针对开标过程的异议和投诉不予受理。</w:t>
      </w:r>
    </w:p>
    <w:p>
      <w:pPr>
        <w:pStyle w:val="35"/>
        <w:widowControl w:val="0"/>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（10）开标结束。</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5.2.2投标人参加开标会的要求,见投标人须知前附表。</w:t>
      </w:r>
    </w:p>
    <w:p>
      <w:pPr>
        <w:pStyle w:val="33"/>
        <w:keepNext w:val="0"/>
        <w:keepLines w:val="0"/>
        <w:shd w:val="clear" w:fill="FFFFFF" w:themeFill="background1"/>
        <w:spacing w:before="0" w:line="440" w:lineRule="exact"/>
        <w:rPr>
          <w:rFonts w:hint="eastAsia" w:ascii="宋体" w:hAnsi="宋体" w:eastAsia="宋体" w:cs="宋体"/>
          <w:b/>
          <w:bCs/>
          <w:color w:val="auto"/>
          <w:sz w:val="24"/>
          <w:szCs w:val="24"/>
          <w:highlight w:val="none"/>
        </w:rPr>
      </w:pPr>
      <w:bookmarkStart w:id="164" w:name="_Toc152045562"/>
      <w:bookmarkStart w:id="165" w:name="_Toc152042338"/>
      <w:bookmarkStart w:id="166" w:name="_Toc179632580"/>
      <w:bookmarkStart w:id="167" w:name="_Toc144974530"/>
      <w:bookmarkStart w:id="168" w:name="_Toc1780"/>
      <w:bookmarkStart w:id="169" w:name="_Toc178"/>
      <w:r>
        <w:rPr>
          <w:rFonts w:hint="eastAsia" w:ascii="宋体" w:hAnsi="宋体" w:eastAsia="宋体" w:cs="宋体"/>
          <w:b/>
          <w:bCs/>
          <w:color w:val="auto"/>
          <w:sz w:val="24"/>
          <w:szCs w:val="24"/>
          <w:highlight w:val="none"/>
        </w:rPr>
        <w:t>6. 评标</w:t>
      </w:r>
      <w:bookmarkEnd w:id="164"/>
      <w:bookmarkEnd w:id="165"/>
      <w:bookmarkEnd w:id="166"/>
      <w:bookmarkEnd w:id="167"/>
      <w:bookmarkEnd w:id="168"/>
      <w:bookmarkEnd w:id="169"/>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bookmarkStart w:id="170" w:name="_Toc152045563"/>
      <w:bookmarkStart w:id="171" w:name="_Toc179632581"/>
      <w:bookmarkStart w:id="172" w:name="_Toc144974531"/>
      <w:bookmarkStart w:id="173" w:name="_Toc152042339"/>
      <w:r>
        <w:rPr>
          <w:rFonts w:hint="eastAsia" w:ascii="宋体" w:hAnsi="宋体" w:eastAsia="宋体" w:cs="宋体"/>
          <w:b/>
          <w:bCs/>
          <w:color w:val="auto"/>
          <w:highlight w:val="none"/>
        </w:rPr>
        <w:t>6.1 评标委员会</w:t>
      </w:r>
      <w:bookmarkEnd w:id="170"/>
      <w:bookmarkEnd w:id="171"/>
      <w:bookmarkEnd w:id="172"/>
      <w:bookmarkEnd w:id="173"/>
    </w:p>
    <w:p>
      <w:pPr>
        <w:shd w:val="clear" w:fill="FFFFFF" w:themeFill="background1"/>
        <w:spacing w:line="440" w:lineRule="exact"/>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6.1.1评标由招标人依法组建，人数见须知前附表</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6.1.2评标委员会成员有下列情形之一的，应当回避：</w:t>
      </w:r>
    </w:p>
    <w:p>
      <w:pPr>
        <w:shd w:val="clear" w:fill="FFFFFF" w:themeFill="background1"/>
        <w:spacing w:line="440" w:lineRule="exact"/>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（1）招标人或投标人的主要负责人的近亲属；</w:t>
      </w:r>
    </w:p>
    <w:p>
      <w:pPr>
        <w:shd w:val="clear" w:fill="FFFFFF" w:themeFill="background1"/>
        <w:spacing w:line="440" w:lineRule="exact"/>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pPr>
        <w:shd w:val="clear" w:fill="FFFFFF" w:themeFill="background1"/>
        <w:spacing w:line="440" w:lineRule="exact"/>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（3）与投标人有经济利益关系，可能影响对投标公正评审的；</w:t>
      </w:r>
    </w:p>
    <w:p>
      <w:pPr>
        <w:shd w:val="clear" w:fill="FFFFFF" w:themeFill="background1"/>
        <w:spacing w:line="440" w:lineRule="exact"/>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（4）曾因在招标、评标以及其他与招标投标有关活动中从事违法行为而受过行政处罚或刑事处罚的。</w:t>
      </w:r>
    </w:p>
    <w:p>
      <w:pPr>
        <w:pStyle w:val="34"/>
        <w:keepNext w:val="0"/>
        <w:keepLines w:val="0"/>
        <w:shd w:val="clear" w:fill="FFFFFF" w:themeFill="background1"/>
        <w:tabs>
          <w:tab w:val="left" w:pos="2620"/>
        </w:tabs>
        <w:spacing w:line="440" w:lineRule="exact"/>
        <w:ind w:firstLine="482" w:firstLineChars="200"/>
        <w:rPr>
          <w:rFonts w:hint="eastAsia" w:ascii="宋体" w:hAnsi="宋体" w:eastAsia="宋体" w:cs="宋体"/>
          <w:color w:val="auto"/>
          <w:highlight w:val="none"/>
        </w:rPr>
      </w:pPr>
      <w:bookmarkStart w:id="174" w:name="_Toc179632582"/>
      <w:bookmarkStart w:id="175" w:name="_Toc144974532"/>
      <w:bookmarkStart w:id="176" w:name="_Toc152045564"/>
      <w:bookmarkStart w:id="177" w:name="_Toc152042340"/>
      <w:r>
        <w:rPr>
          <w:rFonts w:hint="eastAsia" w:ascii="宋体" w:hAnsi="宋体" w:eastAsia="宋体" w:cs="宋体"/>
          <w:b/>
          <w:bCs/>
          <w:color w:val="auto"/>
          <w:highlight w:val="none"/>
        </w:rPr>
        <w:t>6.2 评标原则</w:t>
      </w:r>
      <w:bookmarkEnd w:id="174"/>
      <w:bookmarkEnd w:id="175"/>
      <w:bookmarkEnd w:id="176"/>
      <w:bookmarkEnd w:id="177"/>
      <w:r>
        <w:rPr>
          <w:rFonts w:hint="eastAsia" w:ascii="宋体" w:hAnsi="宋体" w:eastAsia="宋体" w:cs="宋体"/>
          <w:color w:val="auto"/>
          <w:highlight w:val="none"/>
        </w:rPr>
        <w:tab/>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bookmarkStart w:id="178" w:name="_Toc152045565"/>
      <w:bookmarkStart w:id="179" w:name="_Toc152042341"/>
      <w:bookmarkStart w:id="180" w:name="_Toc179632583"/>
      <w:bookmarkStart w:id="181" w:name="_Toc144974533"/>
    </w:p>
    <w:p>
      <w:pPr>
        <w:shd w:val="clear" w:fill="FFFFFF" w:themeFill="background1"/>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6.3 评标</w:t>
      </w:r>
      <w:bookmarkEnd w:id="178"/>
      <w:bookmarkEnd w:id="179"/>
      <w:bookmarkEnd w:id="180"/>
      <w:bookmarkEnd w:id="181"/>
    </w:p>
    <w:p>
      <w:pPr>
        <w:shd w:val="clear" w:fill="FFFFFF" w:themeFill="background1"/>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评标委员会按照第三章“评标办法”规定的方法、评审因素、标准和程序对投标文件进行评审。第三章“评标办法”没有规定的方法、评审因素和标准，不作为评标依据。</w:t>
      </w:r>
      <w:bookmarkStart w:id="182" w:name="_Toc152042342"/>
      <w:bookmarkStart w:id="183" w:name="_Toc152045566"/>
      <w:bookmarkStart w:id="184" w:name="_Toc144974534"/>
      <w:bookmarkStart w:id="185" w:name="_Toc179632584"/>
      <w:bookmarkStart w:id="186" w:name="_Toc18941"/>
      <w:bookmarkStart w:id="187" w:name="_Toc30005"/>
    </w:p>
    <w:p>
      <w:pPr>
        <w:numPr>
          <w:ilvl w:val="0"/>
          <w:numId w:val="2"/>
        </w:numPr>
        <w:shd w:val="clear" w:fill="FFFFFF" w:themeFill="background1"/>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合同授予</w:t>
      </w:r>
      <w:bookmarkEnd w:id="182"/>
      <w:bookmarkEnd w:id="183"/>
      <w:bookmarkEnd w:id="184"/>
      <w:bookmarkEnd w:id="185"/>
      <w:bookmarkEnd w:id="186"/>
      <w:bookmarkEnd w:id="187"/>
      <w:bookmarkStart w:id="188" w:name="_Toc152045567"/>
      <w:bookmarkStart w:id="189" w:name="_Toc144974535"/>
      <w:bookmarkStart w:id="190" w:name="_Toc179632585"/>
      <w:bookmarkStart w:id="191" w:name="_Toc152042343"/>
    </w:p>
    <w:p>
      <w:pPr>
        <w:shd w:val="clear" w:fill="FFFFFF" w:themeFill="background1"/>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7.1 定标方式</w:t>
      </w:r>
      <w:bookmarkEnd w:id="188"/>
      <w:bookmarkEnd w:id="189"/>
      <w:bookmarkEnd w:id="190"/>
      <w:bookmarkEnd w:id="191"/>
      <w:bookmarkStart w:id="192" w:name="_Toc179632586"/>
      <w:bookmarkStart w:id="193" w:name="_Toc152042344"/>
      <w:bookmarkStart w:id="194" w:name="_Toc152045568"/>
      <w:bookmarkStart w:id="195" w:name="_Toc144974536"/>
    </w:p>
    <w:p>
      <w:pPr>
        <w:shd w:val="clear" w:fill="FFFFFF" w:themeFill="background1"/>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7.1.1除投标人须知前附表规定评标委员会直接确定中标人外，招标人确定评标委员会推荐的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如顺延的中标候选人报价高于第一中标候选人报价，顺延的中标候选人愿意和承诺按照第一中标候选人投标报价签订合同的，可以顺延。评标委员会推荐中标候选人的人数见投标人须知前附表。</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7.1.2信用要求</w:t>
      </w:r>
    </w:p>
    <w:p>
      <w:pPr>
        <w:pStyle w:val="15"/>
        <w:shd w:val="clear" w:fill="FFFFFF" w:themeFill="background1"/>
        <w:spacing w:before="0" w:beforeAutospacing="0" w:after="0" w:line="440" w:lineRule="exact"/>
        <w:ind w:firstLine="480" w:firstLineChars="200"/>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 xml:space="preserve">投标人存在以下不良信用记录情形之一, 不得确定为中标人: </w:t>
      </w:r>
    </w:p>
    <w:p>
      <w:pPr>
        <w:shd w:val="clear" w:fill="FFFFFF" w:themeFill="background1"/>
        <w:spacing w:line="44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（1）投标人被人民法院列入失信被执行人的;</w:t>
      </w:r>
    </w:p>
    <w:p>
      <w:pPr>
        <w:shd w:val="clear" w:fill="FFFFFF" w:themeFill="background1"/>
        <w:spacing w:line="44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（2）投标人或其法定代表人或拟派项目经理（项目负责人）被人民检察院列入行贿犯罪档案的;</w:t>
      </w:r>
    </w:p>
    <w:p>
      <w:pPr>
        <w:shd w:val="clear" w:fill="FFFFFF" w:themeFill="background1"/>
        <w:spacing w:line="44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（3）投标人被工商行政管理部门列入企业经营异常名录的; </w:t>
      </w:r>
    </w:p>
    <w:p>
      <w:pPr>
        <w:shd w:val="clear" w:fill="FFFFFF" w:themeFill="background1"/>
        <w:spacing w:line="44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（4）投标人被税务部门列入重大税收违法案件当事人名单的；</w:t>
      </w:r>
    </w:p>
    <w:p>
      <w:pPr>
        <w:shd w:val="clear" w:fill="FFFFFF" w:themeFill="background1"/>
        <w:spacing w:line="440" w:lineRule="exact"/>
        <w:ind w:firstLine="480" w:firstLineChars="2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（5）投标人具有《安徽省建筑市场信用信息管理办法》第11条所列情形或其他法律法规禁止情形的。</w:t>
      </w:r>
    </w:p>
    <w:p>
      <w:pPr>
        <w:shd w:val="clear" w:fill="FFFFFF" w:themeFill="background1"/>
        <w:spacing w:line="440" w:lineRule="exact"/>
        <w:ind w:firstLine="480" w:firstLineChars="200"/>
        <w:jc w:val="left"/>
        <w:outlineLvl w:val="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以上情形在发出中标通知书之前由招标人通过“信用中国”（http://www.creditchina.gov.cn）或其他指定媒介查询，有限制期限的按规定期限执行，无限制期限的按投标截止时间前</w:t>
      </w:r>
      <w:r>
        <w:rPr>
          <w:rFonts w:hint="eastAsia" w:ascii="宋体" w:hAnsi="宋体" w:eastAsia="宋体" w:cs="宋体"/>
          <w:color w:val="auto"/>
          <w:sz w:val="24"/>
          <w:szCs w:val="24"/>
          <w:highlight w:val="none"/>
          <w:u w:val="single"/>
        </w:rPr>
        <w:t xml:space="preserve"> 12 </w:t>
      </w:r>
      <w:r>
        <w:rPr>
          <w:rFonts w:hint="eastAsia" w:ascii="宋体" w:hAnsi="宋体" w:eastAsia="宋体" w:cs="宋体"/>
          <w:color w:val="auto"/>
          <w:sz w:val="24"/>
          <w:szCs w:val="24"/>
          <w:highlight w:val="none"/>
        </w:rPr>
        <w:t>月计算。</w:t>
      </w:r>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7.2中标候选人公示、中标通知</w:t>
      </w:r>
      <w:bookmarkEnd w:id="192"/>
      <w:bookmarkEnd w:id="193"/>
      <w:bookmarkEnd w:id="194"/>
      <w:bookmarkEnd w:id="195"/>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 招标人在投标人须知前附表规定的媒介公示中标候选人，公示时间不少于3日。</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招标人须在中标公示期满前到检察院办理中标候选人的《行贿犯罪档案查询结果告知函》, 按照《关于在工程建设领域开展行贿犯罪档案查询工作的通知》高检会【2015】5号文件执行。</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公示内容详见下表：</w:t>
      </w:r>
    </w:p>
    <w:tbl>
      <w:tblPr>
        <w:tblStyle w:val="31"/>
        <w:tblW w:w="9334"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306"/>
        <w:gridCol w:w="1108"/>
        <w:gridCol w:w="796"/>
        <w:gridCol w:w="1800"/>
        <w:gridCol w:w="935"/>
        <w:gridCol w:w="1154"/>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449" w:type="dxa"/>
            <w:vAlign w:val="center"/>
          </w:tcPr>
          <w:p>
            <w:pPr>
              <w:shd w:val="clear" w:fill="FFFFFF" w:themeFill="background1"/>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招标人</w:t>
            </w:r>
          </w:p>
        </w:tc>
        <w:tc>
          <w:tcPr>
            <w:tcW w:w="3210" w:type="dxa"/>
            <w:gridSpan w:val="3"/>
            <w:vAlign w:val="center"/>
          </w:tcPr>
          <w:p>
            <w:pPr>
              <w:shd w:val="clear" w:fill="FFFFFF" w:themeFill="background1"/>
              <w:jc w:val="center"/>
              <w:outlineLvl w:val="3"/>
              <w:rPr>
                <w:rFonts w:hint="eastAsia" w:ascii="宋体" w:hAnsi="宋体" w:eastAsia="宋体" w:cs="宋体"/>
                <w:color w:val="auto"/>
                <w:highlight w:val="none"/>
              </w:rPr>
            </w:pPr>
          </w:p>
        </w:tc>
        <w:tc>
          <w:tcPr>
            <w:tcW w:w="1800" w:type="dxa"/>
            <w:vAlign w:val="center"/>
          </w:tcPr>
          <w:p>
            <w:pPr>
              <w:shd w:val="clear" w:fill="FFFFFF" w:themeFill="background1"/>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工程名称</w:t>
            </w:r>
          </w:p>
        </w:tc>
        <w:tc>
          <w:tcPr>
            <w:tcW w:w="2875" w:type="dxa"/>
            <w:gridSpan w:val="3"/>
            <w:vAlign w:val="center"/>
          </w:tcPr>
          <w:p>
            <w:pPr>
              <w:shd w:val="clear" w:fill="FFFFFF" w:themeFill="background1"/>
              <w:jc w:val="center"/>
              <w:outlineLvl w:val="3"/>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449" w:type="dxa"/>
            <w:vAlign w:val="center"/>
          </w:tcPr>
          <w:p>
            <w:pPr>
              <w:shd w:val="clear" w:fill="FFFFFF" w:themeFill="background1"/>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项目编号</w:t>
            </w:r>
          </w:p>
        </w:tc>
        <w:tc>
          <w:tcPr>
            <w:tcW w:w="1306" w:type="dxa"/>
            <w:vAlign w:val="center"/>
          </w:tcPr>
          <w:p>
            <w:pPr>
              <w:shd w:val="clear" w:fill="FFFFFF" w:themeFill="background1"/>
              <w:jc w:val="center"/>
              <w:outlineLvl w:val="3"/>
              <w:rPr>
                <w:rFonts w:hint="eastAsia" w:ascii="宋体" w:hAnsi="宋体" w:eastAsia="宋体" w:cs="宋体"/>
                <w:color w:val="auto"/>
                <w:highlight w:val="none"/>
              </w:rPr>
            </w:pPr>
          </w:p>
        </w:tc>
        <w:tc>
          <w:tcPr>
            <w:tcW w:w="1108" w:type="dxa"/>
            <w:vAlign w:val="center"/>
          </w:tcPr>
          <w:p>
            <w:pPr>
              <w:shd w:val="clear" w:fill="FFFFFF" w:themeFill="background1"/>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招标方式</w:t>
            </w:r>
          </w:p>
        </w:tc>
        <w:tc>
          <w:tcPr>
            <w:tcW w:w="796" w:type="dxa"/>
            <w:vAlign w:val="center"/>
          </w:tcPr>
          <w:p>
            <w:pPr>
              <w:shd w:val="clear" w:fill="FFFFFF" w:themeFill="background1"/>
              <w:jc w:val="center"/>
              <w:outlineLvl w:val="3"/>
              <w:rPr>
                <w:rFonts w:hint="eastAsia" w:ascii="宋体" w:hAnsi="宋体" w:eastAsia="宋体" w:cs="宋体"/>
                <w:color w:val="auto"/>
                <w:highlight w:val="none"/>
              </w:rPr>
            </w:pPr>
          </w:p>
        </w:tc>
        <w:tc>
          <w:tcPr>
            <w:tcW w:w="1800" w:type="dxa"/>
            <w:vAlign w:val="center"/>
          </w:tcPr>
          <w:p>
            <w:pPr>
              <w:shd w:val="clear" w:fill="FFFFFF" w:themeFill="background1"/>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开标时间</w:t>
            </w:r>
          </w:p>
        </w:tc>
        <w:tc>
          <w:tcPr>
            <w:tcW w:w="935" w:type="dxa"/>
            <w:vAlign w:val="center"/>
          </w:tcPr>
          <w:p>
            <w:pPr>
              <w:shd w:val="clear" w:fill="FFFFFF" w:themeFill="background1"/>
              <w:jc w:val="center"/>
              <w:outlineLvl w:val="3"/>
              <w:rPr>
                <w:rFonts w:hint="eastAsia" w:ascii="宋体" w:hAnsi="宋体" w:eastAsia="宋体" w:cs="宋体"/>
                <w:color w:val="auto"/>
                <w:highlight w:val="none"/>
              </w:rPr>
            </w:pPr>
          </w:p>
        </w:tc>
        <w:tc>
          <w:tcPr>
            <w:tcW w:w="1154" w:type="dxa"/>
            <w:vAlign w:val="center"/>
          </w:tcPr>
          <w:p>
            <w:pPr>
              <w:shd w:val="clear" w:fill="FFFFFF" w:themeFill="background1"/>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公示时间</w:t>
            </w:r>
          </w:p>
        </w:tc>
        <w:tc>
          <w:tcPr>
            <w:tcW w:w="786" w:type="dxa"/>
            <w:vAlign w:val="center"/>
          </w:tcPr>
          <w:p>
            <w:pPr>
              <w:shd w:val="clear" w:fill="FFFFFF" w:themeFill="background1"/>
              <w:jc w:val="center"/>
              <w:outlineLvl w:val="3"/>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449" w:type="dxa"/>
            <w:vAlign w:val="center"/>
          </w:tcPr>
          <w:p>
            <w:pPr>
              <w:shd w:val="clear" w:fill="FFFFFF" w:themeFill="background1"/>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 xml:space="preserve">第一中标候选人                                </w:t>
            </w:r>
          </w:p>
        </w:tc>
        <w:tc>
          <w:tcPr>
            <w:tcW w:w="3210" w:type="dxa"/>
            <w:gridSpan w:val="3"/>
            <w:vAlign w:val="center"/>
          </w:tcPr>
          <w:p>
            <w:pPr>
              <w:shd w:val="clear" w:fill="FFFFFF" w:themeFill="background1"/>
              <w:jc w:val="center"/>
              <w:outlineLvl w:val="3"/>
              <w:rPr>
                <w:rFonts w:hint="eastAsia" w:ascii="宋体" w:hAnsi="宋体" w:eastAsia="宋体" w:cs="宋体"/>
                <w:color w:val="auto"/>
                <w:highlight w:val="none"/>
              </w:rPr>
            </w:pPr>
          </w:p>
        </w:tc>
        <w:tc>
          <w:tcPr>
            <w:tcW w:w="1800" w:type="dxa"/>
            <w:vAlign w:val="center"/>
          </w:tcPr>
          <w:p>
            <w:pPr>
              <w:shd w:val="clear" w:fill="FFFFFF" w:themeFill="background1"/>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项目经理</w:t>
            </w:r>
          </w:p>
        </w:tc>
        <w:tc>
          <w:tcPr>
            <w:tcW w:w="935" w:type="dxa"/>
            <w:vAlign w:val="center"/>
          </w:tcPr>
          <w:p>
            <w:pPr>
              <w:shd w:val="clear" w:fill="FFFFFF" w:themeFill="background1"/>
              <w:jc w:val="center"/>
              <w:outlineLvl w:val="3"/>
              <w:rPr>
                <w:rFonts w:hint="eastAsia" w:ascii="宋体" w:hAnsi="宋体" w:eastAsia="宋体" w:cs="宋体"/>
                <w:color w:val="auto"/>
                <w:highlight w:val="none"/>
              </w:rPr>
            </w:pPr>
          </w:p>
        </w:tc>
        <w:tc>
          <w:tcPr>
            <w:tcW w:w="1154" w:type="dxa"/>
            <w:vAlign w:val="center"/>
          </w:tcPr>
          <w:p>
            <w:pPr>
              <w:shd w:val="clear" w:fill="FFFFFF" w:themeFill="background1"/>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中标价</w:t>
            </w:r>
          </w:p>
        </w:tc>
        <w:tc>
          <w:tcPr>
            <w:tcW w:w="786" w:type="dxa"/>
            <w:vAlign w:val="center"/>
          </w:tcPr>
          <w:p>
            <w:pPr>
              <w:shd w:val="clear" w:fill="FFFFFF" w:themeFill="background1"/>
              <w:jc w:val="center"/>
              <w:outlineLvl w:val="3"/>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449" w:type="dxa"/>
            <w:vAlign w:val="center"/>
          </w:tcPr>
          <w:p>
            <w:pPr>
              <w:shd w:val="clear" w:fill="FFFFFF" w:themeFill="background1"/>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 xml:space="preserve">企业业绩及奖项                                     </w:t>
            </w:r>
          </w:p>
        </w:tc>
        <w:tc>
          <w:tcPr>
            <w:tcW w:w="3210" w:type="dxa"/>
            <w:gridSpan w:val="3"/>
            <w:vAlign w:val="center"/>
          </w:tcPr>
          <w:p>
            <w:pPr>
              <w:shd w:val="clear" w:fill="FFFFFF" w:themeFill="background1"/>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业绩名称（含金额或面积）</w:t>
            </w:r>
          </w:p>
          <w:p>
            <w:pPr>
              <w:shd w:val="clear" w:fill="FFFFFF" w:themeFill="background1"/>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奖项名称（含获奖项目名称）</w:t>
            </w:r>
          </w:p>
        </w:tc>
        <w:tc>
          <w:tcPr>
            <w:tcW w:w="1800" w:type="dxa"/>
            <w:vAlign w:val="center"/>
          </w:tcPr>
          <w:p>
            <w:pPr>
              <w:shd w:val="clear" w:fill="FFFFFF" w:themeFill="background1"/>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项目经理业绩及奖项</w:t>
            </w:r>
          </w:p>
        </w:tc>
        <w:tc>
          <w:tcPr>
            <w:tcW w:w="2875" w:type="dxa"/>
            <w:gridSpan w:val="3"/>
            <w:vAlign w:val="center"/>
          </w:tcPr>
          <w:p>
            <w:pPr>
              <w:shd w:val="clear" w:fill="FFFFFF" w:themeFill="background1"/>
              <w:outlineLvl w:val="3"/>
              <w:rPr>
                <w:rFonts w:hint="eastAsia" w:ascii="宋体" w:hAnsi="宋体" w:eastAsia="宋体" w:cs="宋体"/>
                <w:color w:val="auto"/>
                <w:highlight w:val="none"/>
              </w:rPr>
            </w:pPr>
            <w:r>
              <w:rPr>
                <w:rFonts w:hint="eastAsia" w:ascii="宋体" w:hAnsi="宋体" w:eastAsia="宋体" w:cs="宋体"/>
                <w:color w:val="auto"/>
                <w:highlight w:val="none"/>
              </w:rPr>
              <w:t>业绩名称（含金额或面积）</w:t>
            </w:r>
          </w:p>
          <w:p>
            <w:pPr>
              <w:shd w:val="clear" w:fill="FFFFFF" w:themeFill="background1"/>
              <w:outlineLvl w:val="3"/>
              <w:rPr>
                <w:rFonts w:hint="eastAsia" w:ascii="宋体" w:hAnsi="宋体" w:eastAsia="宋体" w:cs="宋体"/>
                <w:color w:val="auto"/>
                <w:highlight w:val="none"/>
              </w:rPr>
            </w:pPr>
            <w:r>
              <w:rPr>
                <w:rFonts w:hint="eastAsia" w:ascii="宋体" w:hAnsi="宋体" w:eastAsia="宋体" w:cs="宋体"/>
                <w:color w:val="auto"/>
                <w:highlight w:val="none"/>
              </w:rPr>
              <w:t>奖项名称（含获奖项目名称）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449" w:type="dxa"/>
            <w:vAlign w:val="center"/>
          </w:tcPr>
          <w:p>
            <w:pPr>
              <w:shd w:val="clear" w:fill="FFFFFF" w:themeFill="background1"/>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 xml:space="preserve">第二中标候选人                                </w:t>
            </w:r>
          </w:p>
        </w:tc>
        <w:tc>
          <w:tcPr>
            <w:tcW w:w="3210" w:type="dxa"/>
            <w:gridSpan w:val="3"/>
            <w:vAlign w:val="center"/>
          </w:tcPr>
          <w:p>
            <w:pPr>
              <w:shd w:val="clear" w:fill="FFFFFF" w:themeFill="background1"/>
              <w:jc w:val="center"/>
              <w:outlineLvl w:val="3"/>
              <w:rPr>
                <w:rFonts w:hint="eastAsia" w:ascii="宋体" w:hAnsi="宋体" w:eastAsia="宋体" w:cs="宋体"/>
                <w:color w:val="auto"/>
                <w:highlight w:val="none"/>
              </w:rPr>
            </w:pPr>
          </w:p>
        </w:tc>
        <w:tc>
          <w:tcPr>
            <w:tcW w:w="1800" w:type="dxa"/>
            <w:vAlign w:val="center"/>
          </w:tcPr>
          <w:p>
            <w:pPr>
              <w:shd w:val="clear" w:fill="FFFFFF" w:themeFill="background1"/>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项目经理</w:t>
            </w:r>
          </w:p>
        </w:tc>
        <w:tc>
          <w:tcPr>
            <w:tcW w:w="935" w:type="dxa"/>
            <w:vAlign w:val="center"/>
          </w:tcPr>
          <w:p>
            <w:pPr>
              <w:shd w:val="clear" w:fill="FFFFFF" w:themeFill="background1"/>
              <w:jc w:val="center"/>
              <w:outlineLvl w:val="3"/>
              <w:rPr>
                <w:rFonts w:hint="eastAsia" w:ascii="宋体" w:hAnsi="宋体" w:eastAsia="宋体" w:cs="宋体"/>
                <w:color w:val="auto"/>
                <w:highlight w:val="none"/>
              </w:rPr>
            </w:pPr>
          </w:p>
        </w:tc>
        <w:tc>
          <w:tcPr>
            <w:tcW w:w="1154" w:type="dxa"/>
            <w:vAlign w:val="center"/>
          </w:tcPr>
          <w:p>
            <w:pPr>
              <w:shd w:val="clear" w:fill="FFFFFF" w:themeFill="background1"/>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中标价</w:t>
            </w:r>
          </w:p>
        </w:tc>
        <w:tc>
          <w:tcPr>
            <w:tcW w:w="786" w:type="dxa"/>
            <w:vAlign w:val="center"/>
          </w:tcPr>
          <w:p>
            <w:pPr>
              <w:shd w:val="clear" w:fill="FFFFFF" w:themeFill="background1"/>
              <w:jc w:val="center"/>
              <w:outlineLvl w:val="3"/>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5" w:hRule="atLeast"/>
        </w:trPr>
        <w:tc>
          <w:tcPr>
            <w:tcW w:w="1449" w:type="dxa"/>
            <w:vAlign w:val="center"/>
          </w:tcPr>
          <w:p>
            <w:pPr>
              <w:shd w:val="clear" w:fill="FFFFFF" w:themeFill="background1"/>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 xml:space="preserve">企业业绩及奖项                                     </w:t>
            </w:r>
          </w:p>
        </w:tc>
        <w:tc>
          <w:tcPr>
            <w:tcW w:w="3210" w:type="dxa"/>
            <w:gridSpan w:val="3"/>
            <w:vAlign w:val="center"/>
          </w:tcPr>
          <w:p>
            <w:pPr>
              <w:shd w:val="clear" w:fill="FFFFFF" w:themeFill="background1"/>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业绩名称（含金额或面积）</w:t>
            </w:r>
          </w:p>
          <w:p>
            <w:pPr>
              <w:shd w:val="clear" w:fill="FFFFFF" w:themeFill="background1"/>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奖项名称（含获奖项目名称）</w:t>
            </w:r>
          </w:p>
        </w:tc>
        <w:tc>
          <w:tcPr>
            <w:tcW w:w="1800" w:type="dxa"/>
            <w:vAlign w:val="center"/>
          </w:tcPr>
          <w:p>
            <w:pPr>
              <w:shd w:val="clear" w:fill="FFFFFF" w:themeFill="background1"/>
              <w:outlineLvl w:val="3"/>
              <w:rPr>
                <w:rFonts w:hint="eastAsia" w:ascii="宋体" w:hAnsi="宋体" w:eastAsia="宋体" w:cs="宋体"/>
                <w:color w:val="auto"/>
                <w:highlight w:val="none"/>
              </w:rPr>
            </w:pPr>
            <w:r>
              <w:rPr>
                <w:rFonts w:hint="eastAsia" w:ascii="宋体" w:hAnsi="宋体" w:eastAsia="宋体" w:cs="宋体"/>
                <w:color w:val="auto"/>
                <w:highlight w:val="none"/>
              </w:rPr>
              <w:t>项目经理业绩及奖项</w:t>
            </w:r>
          </w:p>
        </w:tc>
        <w:tc>
          <w:tcPr>
            <w:tcW w:w="2875" w:type="dxa"/>
            <w:gridSpan w:val="3"/>
            <w:vAlign w:val="center"/>
          </w:tcPr>
          <w:p>
            <w:pPr>
              <w:shd w:val="clear" w:fill="FFFFFF" w:themeFill="background1"/>
              <w:outlineLvl w:val="3"/>
              <w:rPr>
                <w:rFonts w:hint="eastAsia" w:ascii="宋体" w:hAnsi="宋体" w:eastAsia="宋体" w:cs="宋体"/>
                <w:color w:val="auto"/>
                <w:highlight w:val="none"/>
              </w:rPr>
            </w:pPr>
            <w:r>
              <w:rPr>
                <w:rFonts w:hint="eastAsia" w:ascii="宋体" w:hAnsi="宋体" w:eastAsia="宋体" w:cs="宋体"/>
                <w:color w:val="auto"/>
                <w:highlight w:val="none"/>
              </w:rPr>
              <w:t>业绩名称（含金额或面积）</w:t>
            </w:r>
          </w:p>
          <w:p>
            <w:pPr>
              <w:shd w:val="clear" w:fill="FFFFFF" w:themeFill="background1"/>
              <w:outlineLvl w:val="3"/>
              <w:rPr>
                <w:rFonts w:hint="eastAsia" w:ascii="宋体" w:hAnsi="宋体" w:eastAsia="宋体" w:cs="宋体"/>
                <w:color w:val="auto"/>
                <w:highlight w:val="none"/>
              </w:rPr>
            </w:pPr>
            <w:r>
              <w:rPr>
                <w:rFonts w:hint="eastAsia" w:ascii="宋体" w:hAnsi="宋体" w:eastAsia="宋体" w:cs="宋体"/>
                <w:color w:val="auto"/>
                <w:highlight w:val="none"/>
              </w:rPr>
              <w:t>奖项名称（含获奖项目名称）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449" w:type="dxa"/>
            <w:vAlign w:val="center"/>
          </w:tcPr>
          <w:p>
            <w:pPr>
              <w:shd w:val="clear" w:fill="FFFFFF" w:themeFill="background1"/>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 xml:space="preserve">第三中标候选人                                </w:t>
            </w:r>
          </w:p>
        </w:tc>
        <w:tc>
          <w:tcPr>
            <w:tcW w:w="3210" w:type="dxa"/>
            <w:gridSpan w:val="3"/>
            <w:vAlign w:val="center"/>
          </w:tcPr>
          <w:p>
            <w:pPr>
              <w:shd w:val="clear" w:fill="FFFFFF" w:themeFill="background1"/>
              <w:jc w:val="center"/>
              <w:outlineLvl w:val="3"/>
              <w:rPr>
                <w:rFonts w:hint="eastAsia" w:ascii="宋体" w:hAnsi="宋体" w:eastAsia="宋体" w:cs="宋体"/>
                <w:color w:val="auto"/>
                <w:highlight w:val="none"/>
              </w:rPr>
            </w:pPr>
          </w:p>
        </w:tc>
        <w:tc>
          <w:tcPr>
            <w:tcW w:w="1800" w:type="dxa"/>
            <w:vAlign w:val="center"/>
          </w:tcPr>
          <w:p>
            <w:pPr>
              <w:shd w:val="clear" w:fill="FFFFFF" w:themeFill="background1"/>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项目经理</w:t>
            </w:r>
          </w:p>
        </w:tc>
        <w:tc>
          <w:tcPr>
            <w:tcW w:w="935" w:type="dxa"/>
            <w:vAlign w:val="center"/>
          </w:tcPr>
          <w:p>
            <w:pPr>
              <w:shd w:val="clear" w:fill="FFFFFF" w:themeFill="background1"/>
              <w:jc w:val="center"/>
              <w:outlineLvl w:val="3"/>
              <w:rPr>
                <w:rFonts w:hint="eastAsia" w:ascii="宋体" w:hAnsi="宋体" w:eastAsia="宋体" w:cs="宋体"/>
                <w:color w:val="auto"/>
                <w:highlight w:val="none"/>
              </w:rPr>
            </w:pPr>
          </w:p>
        </w:tc>
        <w:tc>
          <w:tcPr>
            <w:tcW w:w="1154" w:type="dxa"/>
            <w:vAlign w:val="center"/>
          </w:tcPr>
          <w:p>
            <w:pPr>
              <w:shd w:val="clear" w:fill="FFFFFF" w:themeFill="background1"/>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中标价</w:t>
            </w:r>
          </w:p>
        </w:tc>
        <w:tc>
          <w:tcPr>
            <w:tcW w:w="786" w:type="dxa"/>
            <w:vAlign w:val="center"/>
          </w:tcPr>
          <w:p>
            <w:pPr>
              <w:shd w:val="clear" w:fill="FFFFFF" w:themeFill="background1"/>
              <w:jc w:val="center"/>
              <w:outlineLvl w:val="3"/>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449" w:type="dxa"/>
            <w:vAlign w:val="center"/>
          </w:tcPr>
          <w:p>
            <w:pPr>
              <w:shd w:val="clear" w:fill="FFFFFF" w:themeFill="background1"/>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 xml:space="preserve">企业业绩及奖项                                    </w:t>
            </w:r>
          </w:p>
        </w:tc>
        <w:tc>
          <w:tcPr>
            <w:tcW w:w="3210" w:type="dxa"/>
            <w:gridSpan w:val="3"/>
            <w:vAlign w:val="center"/>
          </w:tcPr>
          <w:p>
            <w:pPr>
              <w:shd w:val="clear" w:fill="FFFFFF" w:themeFill="background1"/>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业绩名称（含金额或面积）</w:t>
            </w:r>
          </w:p>
          <w:p>
            <w:pPr>
              <w:shd w:val="clear" w:fill="FFFFFF" w:themeFill="background1"/>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奖项名称（含获奖项目名称）</w:t>
            </w:r>
          </w:p>
        </w:tc>
        <w:tc>
          <w:tcPr>
            <w:tcW w:w="1800" w:type="dxa"/>
            <w:vAlign w:val="center"/>
          </w:tcPr>
          <w:p>
            <w:pPr>
              <w:shd w:val="clear" w:fill="FFFFFF" w:themeFill="background1"/>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项目经理业绩及奖项</w:t>
            </w:r>
          </w:p>
        </w:tc>
        <w:tc>
          <w:tcPr>
            <w:tcW w:w="2875" w:type="dxa"/>
            <w:gridSpan w:val="3"/>
            <w:vAlign w:val="center"/>
          </w:tcPr>
          <w:p>
            <w:pPr>
              <w:shd w:val="clear" w:fill="FFFFFF" w:themeFill="background1"/>
              <w:outlineLvl w:val="3"/>
              <w:rPr>
                <w:rFonts w:hint="eastAsia" w:ascii="宋体" w:hAnsi="宋体" w:eastAsia="宋体" w:cs="宋体"/>
                <w:color w:val="auto"/>
                <w:highlight w:val="none"/>
              </w:rPr>
            </w:pPr>
            <w:r>
              <w:rPr>
                <w:rFonts w:hint="eastAsia" w:ascii="宋体" w:hAnsi="宋体" w:eastAsia="宋体" w:cs="宋体"/>
                <w:color w:val="auto"/>
                <w:highlight w:val="none"/>
              </w:rPr>
              <w:t>业绩名称（含金额或面积）</w:t>
            </w:r>
          </w:p>
          <w:p>
            <w:pPr>
              <w:shd w:val="clear" w:fill="FFFFFF" w:themeFill="background1"/>
              <w:outlineLvl w:val="3"/>
              <w:rPr>
                <w:rFonts w:hint="eastAsia" w:ascii="宋体" w:hAnsi="宋体" w:eastAsia="宋体" w:cs="宋体"/>
                <w:color w:val="auto"/>
                <w:highlight w:val="none"/>
              </w:rPr>
            </w:pPr>
            <w:r>
              <w:rPr>
                <w:rFonts w:hint="eastAsia" w:ascii="宋体" w:hAnsi="宋体" w:eastAsia="宋体" w:cs="宋体"/>
                <w:color w:val="auto"/>
                <w:highlight w:val="none"/>
              </w:rPr>
              <w:t>奖项名称（含获奖项目名称）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449" w:type="dxa"/>
            <w:vAlign w:val="center"/>
          </w:tcPr>
          <w:p>
            <w:pPr>
              <w:shd w:val="clear" w:fill="FFFFFF" w:themeFill="background1"/>
              <w:outlineLvl w:val="3"/>
              <w:rPr>
                <w:rFonts w:hint="eastAsia" w:ascii="宋体" w:hAnsi="宋体" w:eastAsia="宋体" w:cs="宋体"/>
                <w:color w:val="auto"/>
                <w:highlight w:val="none"/>
              </w:rPr>
            </w:pPr>
            <w:r>
              <w:rPr>
                <w:rFonts w:hint="eastAsia" w:ascii="宋体" w:hAnsi="宋体" w:eastAsia="宋体" w:cs="宋体"/>
                <w:color w:val="auto"/>
                <w:highlight w:val="none"/>
              </w:rPr>
              <w:t>被否决投标或不合格投标人名称</w:t>
            </w:r>
          </w:p>
        </w:tc>
        <w:tc>
          <w:tcPr>
            <w:tcW w:w="3210" w:type="dxa"/>
            <w:gridSpan w:val="3"/>
            <w:vAlign w:val="center"/>
          </w:tcPr>
          <w:p>
            <w:pPr>
              <w:shd w:val="clear" w:fill="FFFFFF" w:themeFill="background1"/>
              <w:jc w:val="center"/>
              <w:outlineLvl w:val="3"/>
              <w:rPr>
                <w:rFonts w:hint="eastAsia" w:ascii="宋体" w:hAnsi="宋体" w:eastAsia="宋体" w:cs="宋体"/>
                <w:color w:val="auto"/>
                <w:highlight w:val="none"/>
              </w:rPr>
            </w:pPr>
          </w:p>
        </w:tc>
        <w:tc>
          <w:tcPr>
            <w:tcW w:w="1800" w:type="dxa"/>
            <w:vAlign w:val="center"/>
          </w:tcPr>
          <w:p>
            <w:pPr>
              <w:shd w:val="clear" w:fill="FFFFFF" w:themeFill="background1"/>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否决的原因及依据</w:t>
            </w:r>
          </w:p>
        </w:tc>
        <w:tc>
          <w:tcPr>
            <w:tcW w:w="2875" w:type="dxa"/>
            <w:gridSpan w:val="3"/>
            <w:vAlign w:val="center"/>
          </w:tcPr>
          <w:p>
            <w:pPr>
              <w:shd w:val="clear" w:fill="FFFFFF" w:themeFill="background1"/>
              <w:outlineLvl w:val="3"/>
              <w:rPr>
                <w:rFonts w:hint="eastAsia" w:ascii="宋体" w:hAnsi="宋体" w:eastAsia="宋体" w:cs="宋体"/>
                <w:color w:val="auto"/>
                <w:highlight w:val="none"/>
              </w:rPr>
            </w:pPr>
          </w:p>
        </w:tc>
      </w:tr>
    </w:tbl>
    <w:p>
      <w:pPr>
        <w:shd w:val="clear" w:fill="FFFFFF" w:themeFill="background1"/>
        <w:spacing w:line="440" w:lineRule="exact"/>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7.3 履约担保</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在签订合同前，中标人应按投标人须知前附表规定的担保形式和招标文件第四章“合同条款及格式”规定的或者事先经过招标人书面认可的担保格式向招标人提交。联合体中标的，其担保由牵头人递交，并应符合投标人须知前附表规定的金额、担保形式和招标文件第四章“合同条款及格式”规定的担保格式要求。</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 中标人不能按本章第7.3.1项要求提交担保的，视为放弃中标，其投标保证金不予退还，给招标人造成的损失超过投标保证金数额的，中标人还应当对超过部分予以赔偿。</w:t>
      </w:r>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bookmarkStart w:id="196" w:name="_Toc179632588"/>
      <w:bookmarkStart w:id="197" w:name="_Toc152045570"/>
      <w:bookmarkStart w:id="198" w:name="_Toc152042346"/>
      <w:bookmarkStart w:id="199" w:name="_Toc144974538"/>
      <w:r>
        <w:rPr>
          <w:rFonts w:hint="eastAsia" w:ascii="宋体" w:hAnsi="宋体" w:eastAsia="宋体" w:cs="宋体"/>
          <w:b/>
          <w:bCs/>
          <w:color w:val="auto"/>
          <w:highlight w:val="none"/>
        </w:rPr>
        <w:t>7.4 签订合同</w:t>
      </w:r>
      <w:bookmarkEnd w:id="196"/>
      <w:bookmarkEnd w:id="197"/>
      <w:bookmarkEnd w:id="198"/>
      <w:bookmarkEnd w:id="199"/>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7.4.1招标人和中标人应当自中标通知书发出之日起30天内，严格按照招标文件和中标人的投标文件订立书面合同。中标人无正当理由拒签合同的，招标人取消其中标资格，其投标投标保证金不予退还；给招标人造成的损失超过投标保证金数额的，中标人还应当对超过部分予以赔偿。 </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7.4.2 发出中标通知书后，招标人无正当理由拒签合同的，招标人向中标人退还投标保证金；给中标人造成损失的，还应当赔偿损失。 </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7.4.3书面合同签订后7个工作日内进行合同备案。</w:t>
      </w:r>
    </w:p>
    <w:p>
      <w:pPr>
        <w:pStyle w:val="33"/>
        <w:keepNext w:val="0"/>
        <w:keepLines w:val="0"/>
        <w:shd w:val="clear" w:fill="FFFFFF" w:themeFill="background1"/>
        <w:spacing w:before="0" w:line="440" w:lineRule="exact"/>
        <w:rPr>
          <w:rFonts w:hint="eastAsia" w:ascii="宋体" w:hAnsi="宋体" w:eastAsia="宋体" w:cs="宋体"/>
          <w:b/>
          <w:bCs/>
          <w:color w:val="auto"/>
          <w:sz w:val="24"/>
          <w:szCs w:val="24"/>
          <w:highlight w:val="none"/>
        </w:rPr>
      </w:pPr>
      <w:bookmarkStart w:id="200" w:name="_Toc144974539"/>
      <w:bookmarkStart w:id="201" w:name="_Toc179632589"/>
      <w:bookmarkStart w:id="202" w:name="_Toc152042347"/>
      <w:bookmarkStart w:id="203" w:name="_Toc1092"/>
      <w:bookmarkStart w:id="204" w:name="_Toc18349"/>
      <w:bookmarkStart w:id="205" w:name="_Toc152045571"/>
      <w:r>
        <w:rPr>
          <w:rFonts w:hint="eastAsia" w:ascii="宋体" w:hAnsi="宋体" w:eastAsia="宋体" w:cs="宋体"/>
          <w:b/>
          <w:bCs/>
          <w:color w:val="auto"/>
          <w:sz w:val="24"/>
          <w:szCs w:val="24"/>
          <w:highlight w:val="none"/>
        </w:rPr>
        <w:t>8. 重新招标</w:t>
      </w:r>
      <w:bookmarkEnd w:id="200"/>
      <w:bookmarkEnd w:id="201"/>
      <w:bookmarkEnd w:id="202"/>
      <w:bookmarkEnd w:id="203"/>
      <w:bookmarkEnd w:id="204"/>
      <w:bookmarkEnd w:id="205"/>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有下列情形之一的，招标人将重新招标：</w:t>
      </w:r>
    </w:p>
    <w:p>
      <w:pPr>
        <w:shd w:val="clear" w:fill="FFFFFF" w:themeFill="background1"/>
        <w:spacing w:line="440" w:lineRule="exact"/>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（1）投标截止时间止，投标人少于3个的；</w:t>
      </w:r>
    </w:p>
    <w:p>
      <w:pPr>
        <w:shd w:val="clear" w:fill="FFFFFF" w:themeFill="background1"/>
        <w:spacing w:line="440" w:lineRule="exact"/>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（2）经评标委员会评审后否决所有投标的。</w:t>
      </w:r>
    </w:p>
    <w:p>
      <w:pPr>
        <w:pStyle w:val="33"/>
        <w:keepNext w:val="0"/>
        <w:keepLines w:val="0"/>
        <w:shd w:val="clear" w:fill="FFFFFF" w:themeFill="background1"/>
        <w:spacing w:before="0" w:line="440" w:lineRule="exact"/>
        <w:rPr>
          <w:rFonts w:hint="eastAsia" w:ascii="宋体" w:hAnsi="宋体" w:eastAsia="宋体" w:cs="宋体"/>
          <w:b/>
          <w:bCs/>
          <w:color w:val="auto"/>
          <w:sz w:val="24"/>
          <w:szCs w:val="24"/>
          <w:highlight w:val="none"/>
        </w:rPr>
      </w:pPr>
      <w:bookmarkStart w:id="206" w:name="_Toc144974542"/>
      <w:bookmarkStart w:id="207" w:name="_Toc179632592"/>
      <w:bookmarkStart w:id="208" w:name="_Toc152045574"/>
      <w:bookmarkStart w:id="209" w:name="_Toc152042350"/>
      <w:bookmarkStart w:id="210" w:name="_Toc13946"/>
      <w:bookmarkStart w:id="211" w:name="_Toc29170"/>
      <w:r>
        <w:rPr>
          <w:rFonts w:hint="eastAsia" w:ascii="宋体" w:hAnsi="宋体" w:eastAsia="宋体" w:cs="宋体"/>
          <w:b/>
          <w:bCs/>
          <w:color w:val="auto"/>
          <w:sz w:val="24"/>
          <w:szCs w:val="24"/>
          <w:highlight w:val="none"/>
        </w:rPr>
        <w:t>9. 纪律和监督</w:t>
      </w:r>
      <w:bookmarkEnd w:id="206"/>
      <w:bookmarkEnd w:id="207"/>
      <w:bookmarkEnd w:id="208"/>
      <w:bookmarkEnd w:id="209"/>
      <w:bookmarkEnd w:id="210"/>
      <w:bookmarkEnd w:id="211"/>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bookmarkStart w:id="212" w:name="_Toc144974543"/>
      <w:bookmarkStart w:id="213" w:name="_Toc152045575"/>
      <w:bookmarkStart w:id="214" w:name="_Toc179632593"/>
      <w:bookmarkStart w:id="215" w:name="_Toc152042351"/>
      <w:r>
        <w:rPr>
          <w:rFonts w:hint="eastAsia" w:ascii="宋体" w:hAnsi="宋体" w:eastAsia="宋体" w:cs="宋体"/>
          <w:b/>
          <w:bCs/>
          <w:color w:val="auto"/>
          <w:highlight w:val="none"/>
        </w:rPr>
        <w:t>9.1 对招标人的纪律要求</w:t>
      </w:r>
      <w:bookmarkEnd w:id="212"/>
      <w:bookmarkEnd w:id="213"/>
      <w:bookmarkEnd w:id="214"/>
      <w:bookmarkEnd w:id="215"/>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招标人不得泄漏招标投标活动中应当保密的情况和资料，不得与投标人串通损害国家利益、社会公共利益或者他人合法权益。</w:t>
      </w:r>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bookmarkStart w:id="216" w:name="_Toc152045576"/>
      <w:bookmarkStart w:id="217" w:name="_Toc144974544"/>
      <w:bookmarkStart w:id="218" w:name="_Toc179632594"/>
      <w:bookmarkStart w:id="219" w:name="_Toc152042352"/>
      <w:r>
        <w:rPr>
          <w:rFonts w:hint="eastAsia" w:ascii="宋体" w:hAnsi="宋体" w:eastAsia="宋体" w:cs="宋体"/>
          <w:b/>
          <w:bCs/>
          <w:color w:val="auto"/>
          <w:highlight w:val="none"/>
        </w:rPr>
        <w:t>9.2 对投标人的纪律要求</w:t>
      </w:r>
      <w:bookmarkEnd w:id="216"/>
      <w:bookmarkEnd w:id="217"/>
      <w:bookmarkEnd w:id="218"/>
      <w:bookmarkEnd w:id="219"/>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bookmarkStart w:id="220" w:name="_Toc144974545"/>
      <w:bookmarkStart w:id="221" w:name="_Toc152045577"/>
      <w:bookmarkStart w:id="222" w:name="_Toc179632595"/>
      <w:bookmarkStart w:id="223" w:name="_Toc152042353"/>
      <w:r>
        <w:rPr>
          <w:rFonts w:hint="eastAsia" w:ascii="宋体" w:hAnsi="宋体" w:eastAsia="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如投标人存在围标、串标、以他人名义投标、弄虚作假、恶意投诉、虚假投诉等行为的、经查证属实的，其提交的投标保证金不予退还，并记入诚信档案，一定期限内不得参与阜阳市公共资源交易活动。</w:t>
      </w:r>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9.3 对评标委员会成员的纪律要求</w:t>
      </w:r>
      <w:bookmarkEnd w:id="220"/>
      <w:bookmarkEnd w:id="221"/>
      <w:bookmarkEnd w:id="222"/>
      <w:bookmarkEnd w:id="223"/>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bookmarkStart w:id="224" w:name="_Toc152042354"/>
      <w:bookmarkStart w:id="225" w:name="_Toc152045578"/>
      <w:bookmarkStart w:id="226" w:name="_Toc179632596"/>
      <w:bookmarkStart w:id="227" w:name="_Toc144974546"/>
      <w:r>
        <w:rPr>
          <w:rFonts w:hint="eastAsia" w:ascii="宋体" w:hAnsi="宋体" w:eastAsia="宋体" w:cs="宋体"/>
          <w:b/>
          <w:bCs/>
          <w:color w:val="auto"/>
          <w:highlight w:val="none"/>
        </w:rPr>
        <w:t>9.4 对与评标活动有关的工作人员的纪律要求</w:t>
      </w:r>
      <w:bookmarkEnd w:id="224"/>
      <w:bookmarkEnd w:id="225"/>
      <w:bookmarkEnd w:id="226"/>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bookmarkStart w:id="228" w:name="_Toc152042355"/>
      <w:r>
        <w:rPr>
          <w:rFonts w:hint="eastAsia" w:ascii="宋体" w:hAnsi="宋体" w:eastAsia="宋体" w:cs="宋体"/>
          <w:color w:val="auto"/>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28"/>
    </w:p>
    <w:p>
      <w:pPr>
        <w:pStyle w:val="34"/>
        <w:keepNext w:val="0"/>
        <w:keepLines w:val="0"/>
        <w:shd w:val="clear" w:fill="FFFFFF" w:themeFill="background1"/>
        <w:spacing w:line="440" w:lineRule="exact"/>
        <w:ind w:firstLine="482" w:firstLineChars="200"/>
        <w:rPr>
          <w:rFonts w:hint="eastAsia" w:ascii="宋体" w:hAnsi="宋体" w:eastAsia="宋体" w:cs="宋体"/>
          <w:b/>
          <w:bCs/>
          <w:color w:val="auto"/>
          <w:highlight w:val="none"/>
        </w:rPr>
      </w:pPr>
      <w:bookmarkStart w:id="229" w:name="_Toc152042356"/>
      <w:bookmarkStart w:id="230" w:name="_Toc179632597"/>
      <w:bookmarkStart w:id="231" w:name="_Toc152045579"/>
      <w:r>
        <w:rPr>
          <w:rFonts w:hint="eastAsia" w:ascii="宋体" w:hAnsi="宋体" w:eastAsia="宋体" w:cs="宋体"/>
          <w:b/>
          <w:bCs/>
          <w:color w:val="auto"/>
          <w:highlight w:val="none"/>
        </w:rPr>
        <w:t>9.5异议、投诉</w:t>
      </w:r>
    </w:p>
    <w:bookmarkEnd w:id="227"/>
    <w:bookmarkEnd w:id="229"/>
    <w:bookmarkEnd w:id="230"/>
    <w:bookmarkEnd w:id="231"/>
    <w:p>
      <w:pPr>
        <w:shd w:val="clear" w:fill="FFFFFF" w:themeFill="background1"/>
        <w:spacing w:line="440" w:lineRule="exact"/>
        <w:ind w:firstLine="480" w:firstLineChars="200"/>
        <w:rPr>
          <w:rFonts w:hint="eastAsia" w:ascii="宋体" w:hAnsi="宋体" w:eastAsia="宋体" w:cs="宋体"/>
          <w:color w:val="auto"/>
          <w:sz w:val="24"/>
          <w:szCs w:val="24"/>
          <w:highlight w:val="none"/>
        </w:rPr>
      </w:pPr>
      <w:bookmarkStart w:id="232" w:name="_Toc152042357"/>
      <w:bookmarkStart w:id="233" w:name="_Toc144974547"/>
      <w:bookmarkStart w:id="234" w:name="_Toc152045580"/>
      <w:bookmarkStart w:id="235" w:name="_Toc179632598"/>
      <w:r>
        <w:rPr>
          <w:rFonts w:hint="eastAsia" w:ascii="宋体" w:hAnsi="宋体" w:eastAsia="宋体" w:cs="宋体"/>
          <w:color w:val="auto"/>
          <w:sz w:val="24"/>
          <w:szCs w:val="24"/>
          <w:highlight w:val="none"/>
        </w:rPr>
        <w:t>投标人和其他利害关系人认为招标投标活动不符合法律、行政法规和规章规定的,可按照《中华人民共和国招标投标法实施条例》《工程建设项目招标投标活动投诉处理办法》《中华人民共和国政府采购法》《中华人民共和国政府采购法实施条例》和《政府采购质疑投诉管理办法》等相关规定向招标人提出异议或向有关行政监督部门投诉。</w:t>
      </w:r>
    </w:p>
    <w:p>
      <w:pPr>
        <w:pStyle w:val="33"/>
        <w:keepNext w:val="0"/>
        <w:keepLines w:val="0"/>
        <w:shd w:val="clear" w:fill="FFFFFF" w:themeFill="background1"/>
        <w:spacing w:before="0"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 需要补充的其他内容</w:t>
      </w:r>
      <w:bookmarkEnd w:id="232"/>
      <w:bookmarkEnd w:id="233"/>
      <w:bookmarkEnd w:id="234"/>
      <w:bookmarkEnd w:id="235"/>
    </w:p>
    <w:p>
      <w:pPr>
        <w:shd w:val="clear" w:fill="FFFFFF" w:themeFill="background1"/>
        <w:spacing w:line="44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rPr>
        <w:t>需要补充的其他内容：见投标人须知前附表。</w:t>
      </w:r>
    </w:p>
    <w:p>
      <w:pPr>
        <w:widowControl/>
        <w:shd w:val="clear" w:fill="FFFFFF" w:themeFill="background1"/>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shd w:val="clear" w:fill="FFFFFF" w:themeFill="background1"/>
        <w:jc w:val="center"/>
        <w:outlineLvl w:val="0"/>
        <w:rPr>
          <w:rFonts w:hint="eastAsia" w:ascii="宋体" w:hAnsi="宋体" w:eastAsia="宋体" w:cs="宋体"/>
          <w:b/>
          <w:color w:val="auto"/>
          <w:sz w:val="32"/>
          <w:szCs w:val="32"/>
          <w:highlight w:val="none"/>
        </w:rPr>
      </w:pPr>
      <w:bookmarkStart w:id="236" w:name="_Toc7496_WPSOffice_Level1"/>
      <w:r>
        <w:rPr>
          <w:rFonts w:hint="eastAsia" w:ascii="宋体" w:hAnsi="宋体" w:eastAsia="宋体" w:cs="宋体"/>
          <w:b/>
          <w:color w:val="auto"/>
          <w:sz w:val="32"/>
          <w:szCs w:val="32"/>
          <w:highlight w:val="none"/>
        </w:rPr>
        <w:t>第三章 评标办法</w:t>
      </w:r>
      <w:bookmarkEnd w:id="236"/>
    </w:p>
    <w:p>
      <w:pPr>
        <w:shd w:val="clear" w:fill="FFFFFF" w:themeFill="background1"/>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评标委员会否决投标文件的条款</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1、不符合评标办法前附表要求条件的。</w:t>
      </w:r>
    </w:p>
    <w:p>
      <w:pPr>
        <w:shd w:val="clear" w:fill="FFFFFF" w:themeFill="background1"/>
        <w:tabs>
          <w:tab w:val="left" w:pos="360"/>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2、评标委员会认定投标人以低于成本报价竞标的。</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3、投标人有串通投标或弄虚作假或有其他违法行为的。</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串通投标行为是指：</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（1）不同投标人的投标文件内容存在非正常一致的；</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（2）不同投标人委托同一人投标或与同一人联合投标的；</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（3）不同投标人的投标文件载明的项目管理班子成员出现同一人的；</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（4）不同投标人的投标文件相互混装的（已开标记录为准）；</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（5）不同投标人的投标文件由同一单位或同一人编制的；</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（6）不同投标人使用同一人或企业资金提交投标保证金的；</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（7）不同投标人聘请同一人或同一中介机构为其投标提供技术或经济咨询服务的；</w:t>
      </w:r>
    </w:p>
    <w:p>
      <w:pPr>
        <w:shd w:val="clear" w:fill="FFFFFF" w:themeFill="background1"/>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4、未按招标文件规定的格式内容填写，实质性内容不全或关键字迹模糊、无法辨认的。</w:t>
      </w:r>
    </w:p>
    <w:p>
      <w:pPr>
        <w:shd w:val="clear" w:fill="FFFFFF" w:themeFill="background1"/>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5、投标人递交两份或多份内容不同的投标文件，投标文件中对同一招标项目报有两个或多个报价，且未声明哪一个有效的。按招标文件规定提交备选投标方案的除外。</w:t>
      </w:r>
    </w:p>
    <w:p>
      <w:pPr>
        <w:shd w:val="clear" w:fill="FFFFFF" w:themeFill="background1"/>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6、投标报价高于或等于最高投标限价的。</w:t>
      </w:r>
    </w:p>
    <w:p>
      <w:pPr>
        <w:shd w:val="clear" w:fill="FFFFFF" w:themeFill="background1"/>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7、投标报价改变招标人提供的暂列金额或暂估价的。</w:t>
      </w:r>
    </w:p>
    <w:p>
      <w:pPr>
        <w:shd w:val="clear" w:fill="FFFFFF" w:themeFill="background1"/>
        <w:tabs>
          <w:tab w:val="left" w:pos="527"/>
        </w:tabs>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8、联合体各方再以自己名义单独或参加其他联合体在同一项目中投标。</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9、投标人存在下列情形之一的：</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（1）为招标人不具有独立法人资格的附属机构（单位）；</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（2）为本标段前期准备提供设计或咨询服务的，但设计施工总承包的除外；</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（3）为本标段的监理人；</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（4）为本标段的代建人；</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（5）为本标段提供招标代理服务的；</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（6）与本标段的监理人或代建人或政府采购技术合作单位同为一个法定代表人的；</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（7）与本标段的监理人或代建人或政府采购技术合作单位相互控股或参股的；</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（8）与本标段的监理人或代建人或政府采购技术合作单位相互任职或工作的；</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（9）被行政主管部门或监督部门暂停或取消公共资源交易（工程建设招标、政府采购、产权交易、土地及矿产交易）资格且在限制期内的；</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（10）近三年内因发生过拖欠农民工工资问题被行政主管部门记不良行为记录且在公示期内的；</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（11）单位负责人为同一人或者存在控股，管理关系的不同单位同时参加本次招标项目投标的。</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10、投标人不按本章第3.4.1项要求提交投标保证金的。</w:t>
      </w:r>
    </w:p>
    <w:p>
      <w:pPr>
        <w:shd w:val="clear" w:fill="FFFFFF" w:themeFill="background1"/>
        <w:spacing w:line="440" w:lineRule="exact"/>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11、改变投标人诚信承诺书内容约定的。</w:t>
      </w:r>
    </w:p>
    <w:p>
      <w:pPr>
        <w:shd w:val="clear" w:fill="FFFFFF" w:themeFill="background1"/>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除以上情形和《评标办法前附表》规定外，不得否决投标。</w:t>
      </w:r>
    </w:p>
    <w:p>
      <w:pPr>
        <w:shd w:val="clear" w:fill="FFFFFF" w:themeFill="background1"/>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如果评标委员会根据以上规定否决不合格投标后，有效投标不足3个，但所有有效投标报价低于最高投标限价，且具备以下条件之一的，视为投标具有竞争性，可以继续评标：</w:t>
      </w:r>
    </w:p>
    <w:p>
      <w:pPr>
        <w:shd w:val="clear" w:fill="FFFFFF" w:themeFill="background1"/>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（一）房屋建筑工程项目：所有有效投标报价低于最高投标限价的95%；</w:t>
      </w:r>
    </w:p>
    <w:p>
      <w:pPr>
        <w:shd w:val="clear" w:fill="FFFFFF" w:themeFill="background1"/>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（二）市政公用工程、市政道路工程、相关配套工程、土地整理工程、农业综合开发工程项目：所有有效投标报价低于最高投标限价的90%；</w:t>
      </w:r>
    </w:p>
    <w:p>
      <w:pPr>
        <w:shd w:val="clear" w:fill="FFFFFF" w:themeFill="background1"/>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评标委员会认为需要否决全部投标的，在否决投标前应告知该项目招标人或其委托的政府采购技术合作单位否决投标的理由并写入评标报告。</w:t>
      </w:r>
    </w:p>
    <w:p>
      <w:pPr>
        <w:shd w:val="clear" w:fill="FFFFFF" w:themeFill="background1"/>
        <w:rPr>
          <w:rFonts w:hint="eastAsia" w:ascii="宋体" w:hAnsi="宋体" w:eastAsia="宋体" w:cs="宋体"/>
          <w:b/>
          <w:bCs/>
          <w:color w:val="auto"/>
          <w:sz w:val="28"/>
          <w:szCs w:val="28"/>
          <w:highlight w:val="none"/>
        </w:rPr>
      </w:pPr>
    </w:p>
    <w:p>
      <w:pPr>
        <w:shd w:val="clear" w:fill="FFFFFF" w:themeFill="background1"/>
        <w:rPr>
          <w:rFonts w:hint="eastAsia" w:ascii="宋体" w:hAnsi="宋体" w:eastAsia="宋体" w:cs="宋体"/>
          <w:b/>
          <w:bCs/>
          <w:color w:val="auto"/>
          <w:sz w:val="28"/>
          <w:szCs w:val="28"/>
          <w:highlight w:val="none"/>
        </w:rPr>
      </w:pPr>
    </w:p>
    <w:p>
      <w:pPr>
        <w:shd w:val="clear" w:fill="FFFFFF" w:themeFill="background1"/>
        <w:rPr>
          <w:rFonts w:hint="eastAsia" w:ascii="宋体" w:hAnsi="宋体" w:eastAsia="宋体" w:cs="宋体"/>
          <w:b/>
          <w:bCs/>
          <w:color w:val="auto"/>
          <w:sz w:val="28"/>
          <w:szCs w:val="28"/>
          <w:highlight w:val="none"/>
        </w:rPr>
      </w:pPr>
    </w:p>
    <w:p>
      <w:pPr>
        <w:shd w:val="clear" w:fill="FFFFFF" w:themeFill="background1"/>
        <w:rPr>
          <w:rFonts w:hint="eastAsia" w:ascii="宋体" w:hAnsi="宋体" w:eastAsia="宋体" w:cs="宋体"/>
          <w:b/>
          <w:bCs/>
          <w:color w:val="auto"/>
          <w:sz w:val="28"/>
          <w:szCs w:val="28"/>
          <w:highlight w:val="none"/>
        </w:rPr>
      </w:pPr>
    </w:p>
    <w:p>
      <w:pPr>
        <w:shd w:val="clear" w:fill="FFFFFF" w:themeFill="background1"/>
        <w:rPr>
          <w:rFonts w:hint="eastAsia" w:ascii="宋体" w:hAnsi="宋体" w:eastAsia="宋体" w:cs="宋体"/>
          <w:b/>
          <w:bCs/>
          <w:color w:val="auto"/>
          <w:sz w:val="28"/>
          <w:szCs w:val="28"/>
          <w:highlight w:val="none"/>
        </w:rPr>
      </w:pPr>
    </w:p>
    <w:p>
      <w:pPr>
        <w:shd w:val="clear" w:fill="FFFFFF" w:themeFill="background1"/>
        <w:rPr>
          <w:rFonts w:hint="eastAsia" w:ascii="宋体" w:hAnsi="宋体" w:eastAsia="宋体" w:cs="宋体"/>
          <w:b/>
          <w:bCs/>
          <w:color w:val="auto"/>
          <w:sz w:val="28"/>
          <w:szCs w:val="28"/>
          <w:highlight w:val="none"/>
        </w:rPr>
      </w:pPr>
    </w:p>
    <w:p>
      <w:pPr>
        <w:shd w:val="clear" w:fill="FFFFFF" w:themeFill="background1"/>
        <w:rPr>
          <w:rFonts w:hint="eastAsia" w:ascii="宋体" w:hAnsi="宋体" w:eastAsia="宋体" w:cs="宋体"/>
          <w:b/>
          <w:bCs/>
          <w:color w:val="auto"/>
          <w:sz w:val="28"/>
          <w:szCs w:val="28"/>
          <w:highlight w:val="none"/>
        </w:rPr>
      </w:pPr>
    </w:p>
    <w:p>
      <w:pPr>
        <w:shd w:val="clear" w:fill="FFFFFF" w:themeFill="background1"/>
        <w:rPr>
          <w:rFonts w:hint="eastAsia" w:ascii="宋体" w:hAnsi="宋体" w:eastAsia="宋体" w:cs="宋体"/>
          <w:b/>
          <w:bCs/>
          <w:color w:val="auto"/>
          <w:sz w:val="28"/>
          <w:szCs w:val="28"/>
          <w:highlight w:val="none"/>
        </w:rPr>
      </w:pPr>
    </w:p>
    <w:p>
      <w:pPr>
        <w:shd w:val="clear" w:fill="FFFFFF" w:themeFill="background1"/>
        <w:rPr>
          <w:rFonts w:hint="eastAsia" w:ascii="宋体" w:hAnsi="宋体" w:eastAsia="宋体" w:cs="宋体"/>
          <w:b/>
          <w:bCs/>
          <w:color w:val="auto"/>
          <w:sz w:val="28"/>
          <w:szCs w:val="28"/>
          <w:highlight w:val="none"/>
        </w:rPr>
      </w:pPr>
    </w:p>
    <w:p>
      <w:pPr>
        <w:shd w:val="clear" w:fill="FFFFFF" w:themeFill="background1"/>
        <w:rPr>
          <w:rFonts w:hint="eastAsia" w:ascii="宋体" w:hAnsi="宋体" w:eastAsia="宋体" w:cs="宋体"/>
          <w:b/>
          <w:bCs/>
          <w:color w:val="auto"/>
          <w:sz w:val="28"/>
          <w:szCs w:val="28"/>
          <w:highlight w:val="none"/>
        </w:rPr>
      </w:pPr>
    </w:p>
    <w:p>
      <w:pPr>
        <w:shd w:val="clear" w:fill="FFFFFF" w:themeFill="background1"/>
        <w:rPr>
          <w:rFonts w:hint="eastAsia" w:ascii="宋体" w:hAnsi="宋体" w:eastAsia="宋体" w:cs="宋体"/>
          <w:b/>
          <w:bCs/>
          <w:color w:val="auto"/>
          <w:sz w:val="28"/>
          <w:szCs w:val="28"/>
          <w:highlight w:val="none"/>
        </w:rPr>
      </w:pPr>
    </w:p>
    <w:p>
      <w:pPr>
        <w:shd w:val="clear" w:fill="FFFFFF" w:themeFill="background1"/>
        <w:rPr>
          <w:rFonts w:hint="eastAsia" w:ascii="宋体" w:hAnsi="宋体" w:eastAsia="宋体" w:cs="宋体"/>
          <w:b/>
          <w:bCs/>
          <w:color w:val="auto"/>
          <w:sz w:val="28"/>
          <w:szCs w:val="28"/>
          <w:highlight w:val="none"/>
        </w:rPr>
      </w:pPr>
    </w:p>
    <w:p>
      <w:pPr>
        <w:shd w:val="clear" w:fill="FFFFFF" w:themeFill="background1"/>
        <w:jc w:val="center"/>
        <w:outlineLvl w:val="0"/>
        <w:rPr>
          <w:rFonts w:hint="eastAsia" w:ascii="宋体" w:hAnsi="宋体" w:eastAsia="宋体" w:cs="宋体"/>
          <w:b/>
          <w:color w:val="auto"/>
          <w:sz w:val="32"/>
          <w:szCs w:val="32"/>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color w:val="auto"/>
          <w:sz w:val="32"/>
          <w:szCs w:val="32"/>
          <w:highlight w:val="none"/>
        </w:rPr>
        <w:t>评标办法前附表</w:t>
      </w:r>
    </w:p>
    <w:tbl>
      <w:tblPr>
        <w:tblStyle w:val="31"/>
        <w:tblW w:w="92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6"/>
        <w:gridCol w:w="2223"/>
        <w:gridCol w:w="57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1216" w:type="dxa"/>
            <w:tcBorders>
              <w:top w:val="single" w:color="auto" w:sz="4" w:space="0"/>
              <w:bottom w:val="single" w:color="auto" w:sz="4" w:space="0"/>
              <w:right w:val="single" w:color="auto" w:sz="4" w:space="0"/>
            </w:tcBorders>
            <w:vAlign w:val="center"/>
          </w:tcPr>
          <w:p>
            <w:pPr>
              <w:shd w:val="clear" w:fill="FFFFFF" w:themeFill="background1"/>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评审内容</w:t>
            </w:r>
          </w:p>
        </w:tc>
        <w:tc>
          <w:tcPr>
            <w:tcW w:w="2223"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评审因素</w:t>
            </w:r>
          </w:p>
        </w:tc>
        <w:tc>
          <w:tcPr>
            <w:tcW w:w="5761" w:type="dxa"/>
            <w:tcBorders>
              <w:top w:val="single" w:color="auto" w:sz="4" w:space="0"/>
              <w:left w:val="single" w:color="auto" w:sz="4" w:space="0"/>
              <w:bottom w:val="single" w:color="auto" w:sz="4" w:space="0"/>
            </w:tcBorders>
            <w:vAlign w:val="center"/>
          </w:tcPr>
          <w:p>
            <w:pPr>
              <w:shd w:val="clear" w:fill="FFFFFF" w:themeFill="background1"/>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16" w:type="dxa"/>
            <w:vMerge w:val="restart"/>
            <w:tcBorders>
              <w:top w:val="single" w:color="auto" w:sz="4" w:space="0"/>
              <w:right w:val="single" w:color="auto" w:sz="4" w:space="0"/>
            </w:tcBorders>
            <w:vAlign w:val="center"/>
          </w:tcPr>
          <w:p>
            <w:pPr>
              <w:shd w:val="clear" w:fill="FFFFFF" w:themeFill="background1"/>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资格评审</w:t>
            </w:r>
          </w:p>
        </w:tc>
        <w:tc>
          <w:tcPr>
            <w:tcW w:w="2223"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spacing w:before="100" w:beforeAutospacing="1" w:after="100" w:afterAutospacing="1"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营业执照</w:t>
            </w:r>
          </w:p>
        </w:tc>
        <w:tc>
          <w:tcPr>
            <w:tcW w:w="5761" w:type="dxa"/>
            <w:tcBorders>
              <w:top w:val="single" w:color="auto" w:sz="4" w:space="0"/>
              <w:left w:val="single" w:color="auto" w:sz="4" w:space="0"/>
              <w:bottom w:val="single" w:color="auto" w:sz="4" w:space="0"/>
            </w:tcBorders>
            <w:vAlign w:val="center"/>
          </w:tcPr>
          <w:p>
            <w:pPr>
              <w:shd w:val="clear" w:fill="FFFFFF" w:themeFill="background1"/>
              <w:spacing w:before="100" w:beforeAutospacing="1" w:after="100" w:afterAutospacing="1" w:line="360" w:lineRule="auto"/>
              <w:rPr>
                <w:rFonts w:hint="eastAsia" w:ascii="宋体" w:hAnsi="宋体" w:eastAsia="宋体" w:cs="宋体"/>
                <w:color w:val="auto"/>
                <w:highlight w:val="none"/>
              </w:rPr>
            </w:pPr>
            <w:r>
              <w:rPr>
                <w:rFonts w:hint="eastAsia" w:ascii="宋体" w:hAnsi="宋体" w:eastAsia="宋体" w:cs="宋体"/>
                <w:color w:val="auto"/>
                <w:highlight w:val="none"/>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16" w:type="dxa"/>
            <w:vMerge w:val="continue"/>
            <w:tcBorders>
              <w:right w:val="single" w:color="auto" w:sz="4" w:space="0"/>
            </w:tcBorders>
            <w:vAlign w:val="center"/>
          </w:tcPr>
          <w:p>
            <w:pPr>
              <w:shd w:val="clear" w:fill="FFFFFF" w:themeFill="background1"/>
              <w:rPr>
                <w:rFonts w:hint="eastAsia" w:ascii="宋体" w:hAnsi="宋体" w:eastAsia="宋体" w:cs="宋体"/>
                <w:color w:val="auto"/>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spacing w:before="100" w:beforeAutospacing="1" w:after="100" w:afterAutospacing="1"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安全生产许可证</w:t>
            </w:r>
          </w:p>
        </w:tc>
        <w:tc>
          <w:tcPr>
            <w:tcW w:w="5761" w:type="dxa"/>
            <w:tcBorders>
              <w:top w:val="single" w:color="auto" w:sz="4" w:space="0"/>
              <w:left w:val="single" w:color="auto" w:sz="4" w:space="0"/>
              <w:bottom w:val="single" w:color="auto" w:sz="4" w:space="0"/>
            </w:tcBorders>
            <w:vAlign w:val="center"/>
          </w:tcPr>
          <w:p>
            <w:pPr>
              <w:shd w:val="clear" w:fill="FFFFFF" w:themeFill="background1"/>
              <w:spacing w:before="100" w:beforeAutospacing="1" w:after="100" w:afterAutospacing="1" w:line="360" w:lineRule="auto"/>
              <w:rPr>
                <w:rFonts w:hint="eastAsia" w:ascii="宋体" w:hAnsi="宋体" w:eastAsia="宋体" w:cs="宋体"/>
                <w:color w:val="auto"/>
                <w:highlight w:val="none"/>
              </w:rPr>
            </w:pPr>
            <w:r>
              <w:rPr>
                <w:rFonts w:hint="eastAsia" w:ascii="宋体" w:hAnsi="宋体" w:eastAsia="宋体" w:cs="宋体"/>
                <w:color w:val="auto"/>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16" w:type="dxa"/>
            <w:vMerge w:val="continue"/>
            <w:tcBorders>
              <w:right w:val="single" w:color="auto" w:sz="4" w:space="0"/>
            </w:tcBorders>
            <w:vAlign w:val="center"/>
          </w:tcPr>
          <w:p>
            <w:pPr>
              <w:shd w:val="clear" w:fill="FFFFFF" w:themeFill="background1"/>
              <w:rPr>
                <w:rFonts w:hint="eastAsia" w:ascii="宋体" w:hAnsi="宋体" w:eastAsia="宋体" w:cs="宋体"/>
                <w:color w:val="auto"/>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spacing w:before="100" w:beforeAutospacing="1" w:after="100" w:afterAutospacing="1"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资质条件</w:t>
            </w:r>
          </w:p>
        </w:tc>
        <w:tc>
          <w:tcPr>
            <w:tcW w:w="5761" w:type="dxa"/>
            <w:tcBorders>
              <w:top w:val="single" w:color="auto" w:sz="4" w:space="0"/>
              <w:left w:val="single" w:color="auto" w:sz="4" w:space="0"/>
              <w:bottom w:val="single" w:color="auto" w:sz="4" w:space="0"/>
            </w:tcBorders>
            <w:vAlign w:val="center"/>
          </w:tcPr>
          <w:p>
            <w:pPr>
              <w:shd w:val="clear" w:fill="FFFFFF" w:themeFill="background1"/>
              <w:spacing w:before="100" w:beforeAutospacing="1" w:after="100" w:afterAutospacing="1"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16" w:type="dxa"/>
            <w:vMerge w:val="continue"/>
            <w:tcBorders>
              <w:right w:val="single" w:color="auto" w:sz="4" w:space="0"/>
            </w:tcBorders>
            <w:vAlign w:val="center"/>
          </w:tcPr>
          <w:p>
            <w:pPr>
              <w:shd w:val="clear" w:fill="FFFFFF" w:themeFill="background1"/>
              <w:rPr>
                <w:rFonts w:hint="eastAsia" w:ascii="宋体" w:hAnsi="宋体" w:eastAsia="宋体" w:cs="宋体"/>
                <w:color w:val="auto"/>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spacing w:before="100" w:beforeAutospacing="1" w:after="100" w:afterAutospacing="1" w:line="360" w:lineRule="auto"/>
              <w:rPr>
                <w:rFonts w:hint="eastAsia" w:ascii="宋体" w:hAnsi="宋体" w:eastAsia="宋体" w:cs="宋体"/>
                <w:color w:val="auto"/>
                <w:highlight w:val="none"/>
              </w:rPr>
            </w:pPr>
            <w:r>
              <w:rPr>
                <w:rFonts w:hint="eastAsia" w:ascii="宋体" w:hAnsi="宋体" w:eastAsia="宋体" w:cs="宋体"/>
                <w:color w:val="auto"/>
                <w:highlight w:val="none"/>
              </w:rPr>
              <w:t>联合体投标人 （如有）</w:t>
            </w:r>
          </w:p>
        </w:tc>
        <w:tc>
          <w:tcPr>
            <w:tcW w:w="5761" w:type="dxa"/>
            <w:tcBorders>
              <w:top w:val="single" w:color="auto" w:sz="4" w:space="0"/>
              <w:left w:val="single" w:color="auto" w:sz="4" w:space="0"/>
              <w:bottom w:val="single" w:color="auto" w:sz="4" w:space="0"/>
            </w:tcBorders>
            <w:vAlign w:val="center"/>
          </w:tcPr>
          <w:p>
            <w:pPr>
              <w:shd w:val="clear" w:fill="FFFFFF" w:themeFill="background1"/>
              <w:spacing w:before="100" w:beforeAutospacing="1" w:after="100" w:afterAutospacing="1" w:line="360" w:lineRule="auto"/>
              <w:rPr>
                <w:rFonts w:hint="eastAsia" w:ascii="宋体" w:hAnsi="宋体" w:eastAsia="宋体" w:cs="宋体"/>
                <w:color w:val="auto"/>
                <w:highlight w:val="none"/>
              </w:rPr>
            </w:pPr>
            <w:r>
              <w:rPr>
                <w:rFonts w:hint="eastAsia" w:ascii="宋体" w:hAnsi="宋体" w:eastAsia="宋体" w:cs="宋体"/>
                <w:color w:val="auto"/>
                <w:highlight w:val="none"/>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0" w:hRule="atLeast"/>
          <w:jc w:val="center"/>
        </w:trPr>
        <w:tc>
          <w:tcPr>
            <w:tcW w:w="1216" w:type="dxa"/>
            <w:vMerge w:val="continue"/>
            <w:tcBorders>
              <w:right w:val="single" w:color="auto" w:sz="4" w:space="0"/>
            </w:tcBorders>
            <w:vAlign w:val="center"/>
          </w:tcPr>
          <w:p>
            <w:pPr>
              <w:shd w:val="clear" w:fill="FFFFFF" w:themeFill="background1"/>
              <w:rPr>
                <w:rFonts w:hint="eastAsia" w:ascii="宋体" w:hAnsi="宋体" w:eastAsia="宋体" w:cs="宋体"/>
                <w:color w:val="auto"/>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spacing w:before="100" w:beforeAutospacing="1" w:after="100" w:afterAutospacing="1"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企业业绩 </w:t>
            </w:r>
          </w:p>
          <w:p>
            <w:pPr>
              <w:shd w:val="clear" w:fill="FFFFFF" w:themeFill="background1"/>
              <w:spacing w:before="100" w:beforeAutospacing="1" w:after="100" w:afterAutospacing="1"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（如有）</w:t>
            </w:r>
          </w:p>
        </w:tc>
        <w:tc>
          <w:tcPr>
            <w:tcW w:w="5761" w:type="dxa"/>
            <w:tcBorders>
              <w:top w:val="single" w:color="auto" w:sz="4" w:space="0"/>
              <w:left w:val="single" w:color="auto" w:sz="4" w:space="0"/>
              <w:bottom w:val="single" w:color="auto" w:sz="4" w:space="0"/>
            </w:tcBorders>
            <w:vAlign w:val="center"/>
          </w:tcPr>
          <w:p>
            <w:pPr>
              <w:shd w:val="clear" w:fill="FFFFFF" w:themeFill="background1"/>
              <w:spacing w:before="100" w:beforeAutospacing="1" w:after="100" w:afterAutospacing="1"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符合第二章“投标人须知前附表”第1.4.1项规定</w:t>
            </w:r>
          </w:p>
          <w:p>
            <w:pPr>
              <w:shd w:val="clear" w:fill="FFFFFF" w:themeFill="background1"/>
              <w:spacing w:before="100" w:beforeAutospacing="1" w:after="100" w:afterAutospacing="1" w:line="360" w:lineRule="auto"/>
              <w:rPr>
                <w:rFonts w:hint="eastAsia" w:ascii="宋体" w:hAnsi="宋体" w:eastAsia="宋体" w:cs="宋体"/>
                <w:color w:val="auto"/>
                <w:highlight w:val="none"/>
              </w:rPr>
            </w:pPr>
            <w:r>
              <w:rPr>
                <w:rFonts w:hint="eastAsia" w:ascii="宋体" w:hAnsi="宋体" w:eastAsia="宋体" w:cs="宋体"/>
                <w:color w:val="auto"/>
                <w:highlight w:val="none"/>
              </w:rPr>
              <w:t>须提供中标通知书、施工合同、竣工验收报告（或竣工验收备案表， 时间以竣工验收报告（或竣工验收备案表）的时间为准。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16" w:type="dxa"/>
            <w:vMerge w:val="continue"/>
            <w:tcBorders>
              <w:right w:val="single" w:color="auto" w:sz="4" w:space="0"/>
            </w:tcBorders>
            <w:vAlign w:val="center"/>
          </w:tcPr>
          <w:p>
            <w:pPr>
              <w:shd w:val="clear" w:fill="FFFFFF" w:themeFill="background1"/>
              <w:rPr>
                <w:rFonts w:hint="eastAsia" w:ascii="宋体" w:hAnsi="宋体" w:eastAsia="宋体" w:cs="宋体"/>
                <w:color w:val="auto"/>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spacing w:before="100" w:beforeAutospacing="1" w:after="100" w:afterAutospacing="1"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项目经理资格</w:t>
            </w:r>
          </w:p>
        </w:tc>
        <w:tc>
          <w:tcPr>
            <w:tcW w:w="5761" w:type="dxa"/>
            <w:tcBorders>
              <w:top w:val="single" w:color="auto" w:sz="4" w:space="0"/>
              <w:left w:val="single" w:color="auto" w:sz="4" w:space="0"/>
              <w:bottom w:val="single" w:color="auto" w:sz="4" w:space="0"/>
            </w:tcBorders>
            <w:vAlign w:val="center"/>
          </w:tcPr>
          <w:p>
            <w:pPr>
              <w:shd w:val="clear" w:fill="FFFFFF" w:themeFill="background1"/>
              <w:spacing w:before="100" w:beforeAutospacing="1" w:after="100" w:afterAutospacing="1"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16" w:type="dxa"/>
            <w:vMerge w:val="continue"/>
            <w:tcBorders>
              <w:right w:val="single" w:color="auto" w:sz="4" w:space="0"/>
            </w:tcBorders>
            <w:vAlign w:val="center"/>
          </w:tcPr>
          <w:p>
            <w:pPr>
              <w:shd w:val="clear" w:fill="FFFFFF" w:themeFill="background1"/>
              <w:rPr>
                <w:rFonts w:hint="eastAsia" w:ascii="宋体" w:hAnsi="宋体" w:eastAsia="宋体" w:cs="宋体"/>
                <w:color w:val="auto"/>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spacing w:before="100" w:beforeAutospacing="1" w:after="100" w:afterAutospacing="1"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项目经理无在建</w:t>
            </w:r>
          </w:p>
        </w:tc>
        <w:tc>
          <w:tcPr>
            <w:tcW w:w="5761" w:type="dxa"/>
            <w:tcBorders>
              <w:top w:val="single" w:color="auto" w:sz="4" w:space="0"/>
              <w:left w:val="single" w:color="auto" w:sz="4" w:space="0"/>
              <w:bottom w:val="single" w:color="auto" w:sz="4" w:space="0"/>
            </w:tcBorders>
            <w:vAlign w:val="center"/>
          </w:tcPr>
          <w:p>
            <w:pPr>
              <w:shd w:val="clear" w:fill="FFFFFF" w:themeFill="background1"/>
              <w:adjustRightInd w:val="0"/>
              <w:snapToGrid w:val="0"/>
              <w:spacing w:before="100" w:beforeAutospacing="1" w:after="100" w:afterAutospacing="1"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16" w:type="dxa"/>
            <w:vMerge w:val="continue"/>
            <w:tcBorders>
              <w:right w:val="single" w:color="auto" w:sz="4" w:space="0"/>
            </w:tcBorders>
            <w:vAlign w:val="center"/>
          </w:tcPr>
          <w:p>
            <w:pPr>
              <w:shd w:val="clear" w:fill="FFFFFF" w:themeFill="background1"/>
              <w:rPr>
                <w:rFonts w:hint="eastAsia" w:ascii="宋体" w:hAnsi="宋体" w:eastAsia="宋体" w:cs="宋体"/>
                <w:color w:val="auto"/>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spacing w:before="100" w:beforeAutospacing="1" w:after="100" w:afterAutospacing="1"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项目经理业绩  </w:t>
            </w:r>
          </w:p>
          <w:p>
            <w:pPr>
              <w:shd w:val="clear" w:fill="FFFFFF" w:themeFill="background1"/>
              <w:spacing w:before="100" w:beforeAutospacing="1" w:after="100" w:afterAutospacing="1"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（如有）</w:t>
            </w:r>
          </w:p>
        </w:tc>
        <w:tc>
          <w:tcPr>
            <w:tcW w:w="5761" w:type="dxa"/>
            <w:tcBorders>
              <w:top w:val="single" w:color="auto" w:sz="4" w:space="0"/>
              <w:left w:val="single" w:color="auto" w:sz="4" w:space="0"/>
              <w:bottom w:val="single" w:color="auto" w:sz="4" w:space="0"/>
            </w:tcBorders>
            <w:vAlign w:val="center"/>
          </w:tcPr>
          <w:p>
            <w:pPr>
              <w:shd w:val="clear" w:fill="FFFFFF" w:themeFill="background1"/>
              <w:adjustRightInd w:val="0"/>
              <w:snapToGrid w:val="0"/>
              <w:spacing w:before="100" w:beforeAutospacing="1" w:after="100" w:afterAutospacing="1"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符合第二章“投标人须知前附表”第1.4.1项规定</w:t>
            </w:r>
          </w:p>
          <w:p>
            <w:pPr>
              <w:shd w:val="clear" w:fill="FFFFFF" w:themeFill="background1"/>
              <w:adjustRightInd w:val="0"/>
              <w:snapToGrid w:val="0"/>
              <w:spacing w:before="100" w:beforeAutospacing="1" w:after="100" w:afterAutospacing="1" w:line="360" w:lineRule="auto"/>
              <w:rPr>
                <w:rFonts w:hint="eastAsia" w:ascii="宋体" w:hAnsi="宋体" w:eastAsia="宋体" w:cs="宋体"/>
                <w:color w:val="auto"/>
                <w:highlight w:val="none"/>
              </w:rPr>
            </w:pPr>
            <w:r>
              <w:rPr>
                <w:rFonts w:hint="eastAsia" w:ascii="宋体" w:hAnsi="宋体" w:eastAsia="宋体" w:cs="宋体"/>
                <w:color w:val="auto"/>
                <w:highlight w:val="none"/>
              </w:rPr>
              <w:t>（以投标文件中的中标通知书、施工合同、竣工验收报告（或竣工验收备案表）复印件为评审依据，）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16" w:type="dxa"/>
            <w:vMerge w:val="continue"/>
            <w:tcBorders>
              <w:right w:val="single" w:color="auto" w:sz="4" w:space="0"/>
            </w:tcBorders>
            <w:vAlign w:val="center"/>
          </w:tcPr>
          <w:p>
            <w:pPr>
              <w:shd w:val="clear" w:fill="FFFFFF" w:themeFill="background1"/>
              <w:rPr>
                <w:rFonts w:hint="eastAsia" w:ascii="宋体" w:hAnsi="宋体" w:eastAsia="宋体" w:cs="宋体"/>
                <w:color w:val="auto"/>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spacing w:before="100" w:beforeAutospacing="1" w:after="100" w:afterAutospacing="1"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企业基本账户开户许可证</w:t>
            </w:r>
          </w:p>
        </w:tc>
        <w:tc>
          <w:tcPr>
            <w:tcW w:w="5761" w:type="dxa"/>
            <w:tcBorders>
              <w:top w:val="single" w:color="auto" w:sz="4" w:space="0"/>
              <w:left w:val="single" w:color="auto" w:sz="4" w:space="0"/>
              <w:bottom w:val="single" w:color="auto" w:sz="4" w:space="0"/>
            </w:tcBorders>
            <w:vAlign w:val="center"/>
          </w:tcPr>
          <w:p>
            <w:pPr>
              <w:shd w:val="clear" w:fill="FFFFFF" w:themeFill="background1"/>
              <w:spacing w:before="100" w:beforeAutospacing="1" w:after="100" w:afterAutospacing="1" w:line="360" w:lineRule="auto"/>
              <w:rPr>
                <w:rFonts w:hint="eastAsia" w:ascii="宋体" w:hAnsi="宋体" w:eastAsia="宋体" w:cs="宋体"/>
                <w:color w:val="auto"/>
                <w:highlight w:val="none"/>
              </w:rPr>
            </w:pPr>
            <w:r>
              <w:rPr>
                <w:rFonts w:hint="eastAsia" w:ascii="宋体" w:hAnsi="宋体" w:eastAsia="宋体" w:cs="宋体"/>
                <w:color w:val="auto"/>
                <w:highlight w:val="none"/>
              </w:rPr>
              <w:t>出具投标保证金的账号与基本账户开户许可证上的账号一致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16" w:type="dxa"/>
            <w:vMerge w:val="continue"/>
            <w:tcBorders>
              <w:bottom w:val="single" w:color="auto" w:sz="4" w:space="0"/>
              <w:right w:val="single" w:color="auto" w:sz="4" w:space="0"/>
            </w:tcBorders>
            <w:vAlign w:val="center"/>
          </w:tcPr>
          <w:p>
            <w:pPr>
              <w:shd w:val="clear" w:fill="FFFFFF" w:themeFill="background1"/>
              <w:rPr>
                <w:rFonts w:hint="eastAsia" w:ascii="宋体" w:hAnsi="宋体" w:eastAsia="宋体" w:cs="宋体"/>
                <w:color w:val="auto"/>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spacing w:before="100" w:beforeAutospacing="1" w:after="100" w:afterAutospacing="1"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投标保证金</w:t>
            </w:r>
          </w:p>
        </w:tc>
        <w:tc>
          <w:tcPr>
            <w:tcW w:w="5761" w:type="dxa"/>
            <w:tcBorders>
              <w:top w:val="single" w:color="auto" w:sz="4" w:space="0"/>
              <w:left w:val="single" w:color="auto" w:sz="4" w:space="0"/>
              <w:bottom w:val="single" w:color="auto" w:sz="4" w:space="0"/>
            </w:tcBorders>
            <w:vAlign w:val="center"/>
          </w:tcPr>
          <w:p>
            <w:pPr>
              <w:shd w:val="clear" w:fill="FFFFFF" w:themeFill="background1"/>
              <w:spacing w:before="100" w:beforeAutospacing="1" w:after="100" w:afterAutospacing="1"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符合第二章“投标人须知前附表”第3.4.1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0" w:hRule="atLeast"/>
          <w:jc w:val="center"/>
        </w:trPr>
        <w:tc>
          <w:tcPr>
            <w:tcW w:w="1216" w:type="dxa"/>
            <w:vMerge w:val="restart"/>
            <w:tcBorders>
              <w:top w:val="single" w:color="auto" w:sz="4" w:space="0"/>
              <w:right w:val="single" w:color="auto" w:sz="4" w:space="0"/>
            </w:tcBorders>
            <w:vAlign w:val="center"/>
          </w:tcPr>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符合性评审</w:t>
            </w:r>
          </w:p>
        </w:tc>
        <w:tc>
          <w:tcPr>
            <w:tcW w:w="2223"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spacing w:before="100" w:beforeAutospacing="1" w:after="100" w:afterAutospacing="1"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投标人名称</w:t>
            </w:r>
          </w:p>
        </w:tc>
        <w:tc>
          <w:tcPr>
            <w:tcW w:w="5761" w:type="dxa"/>
            <w:tcBorders>
              <w:top w:val="single" w:color="auto" w:sz="4" w:space="0"/>
              <w:left w:val="single" w:color="auto" w:sz="4" w:space="0"/>
              <w:bottom w:val="single" w:color="auto" w:sz="4" w:space="0"/>
            </w:tcBorders>
            <w:vAlign w:val="center"/>
          </w:tcPr>
          <w:p>
            <w:pPr>
              <w:shd w:val="clear" w:fill="FFFFFF" w:themeFill="background1"/>
              <w:spacing w:before="100" w:beforeAutospacing="1" w:after="100" w:afterAutospacing="1" w:line="360" w:lineRule="auto"/>
              <w:rPr>
                <w:rFonts w:hint="eastAsia" w:ascii="宋体" w:hAnsi="宋体" w:eastAsia="宋体" w:cs="宋体"/>
                <w:color w:val="auto"/>
                <w:highlight w:val="none"/>
              </w:rPr>
            </w:pPr>
            <w:r>
              <w:rPr>
                <w:rFonts w:hint="eastAsia" w:ascii="宋体" w:hAnsi="宋体" w:eastAsia="宋体" w:cs="宋体"/>
                <w:color w:val="auto"/>
                <w:highlight w:val="none"/>
              </w:rPr>
              <w:t>与营业执照、资质证书、安全生产许可证、投标人基本账户开户许可证一致。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16" w:type="dxa"/>
            <w:vMerge w:val="continue"/>
            <w:tcBorders>
              <w:right w:val="single" w:color="auto" w:sz="4" w:space="0"/>
            </w:tcBorders>
            <w:vAlign w:val="center"/>
          </w:tcPr>
          <w:p>
            <w:pPr>
              <w:shd w:val="clear" w:fill="FFFFFF" w:themeFill="background1"/>
              <w:rPr>
                <w:rFonts w:hint="eastAsia" w:ascii="宋体" w:hAnsi="宋体" w:eastAsia="宋体" w:cs="宋体"/>
                <w:color w:val="auto"/>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spacing w:before="100" w:beforeAutospacing="1" w:after="100" w:afterAutospacing="1"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投标函签字或盖章</w:t>
            </w:r>
          </w:p>
        </w:tc>
        <w:tc>
          <w:tcPr>
            <w:tcW w:w="5761" w:type="dxa"/>
            <w:tcBorders>
              <w:top w:val="single" w:color="auto" w:sz="4" w:space="0"/>
              <w:left w:val="single" w:color="auto" w:sz="4" w:space="0"/>
              <w:bottom w:val="single" w:color="auto" w:sz="4" w:space="0"/>
            </w:tcBorders>
            <w:vAlign w:val="center"/>
          </w:tcPr>
          <w:p>
            <w:pPr>
              <w:shd w:val="clear" w:fill="FFFFFF" w:themeFill="background1"/>
              <w:spacing w:before="100" w:beforeAutospacing="1" w:after="100" w:afterAutospacing="1"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符合“投标函”格式要求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16" w:type="dxa"/>
            <w:vMerge w:val="continue"/>
            <w:tcBorders>
              <w:right w:val="single" w:color="auto" w:sz="4" w:space="0"/>
            </w:tcBorders>
            <w:vAlign w:val="center"/>
          </w:tcPr>
          <w:p>
            <w:pPr>
              <w:shd w:val="clear" w:fill="FFFFFF" w:themeFill="background1"/>
              <w:rPr>
                <w:rFonts w:hint="eastAsia" w:ascii="宋体" w:hAnsi="宋体" w:eastAsia="宋体" w:cs="宋体"/>
                <w:color w:val="auto"/>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spacing w:before="100" w:beforeAutospacing="1" w:after="100" w:afterAutospacing="1"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报价唯一</w:t>
            </w:r>
          </w:p>
        </w:tc>
        <w:tc>
          <w:tcPr>
            <w:tcW w:w="5761" w:type="dxa"/>
            <w:tcBorders>
              <w:top w:val="single" w:color="auto" w:sz="4" w:space="0"/>
              <w:left w:val="single" w:color="auto" w:sz="4" w:space="0"/>
              <w:bottom w:val="single" w:color="auto" w:sz="4" w:space="0"/>
            </w:tcBorders>
            <w:vAlign w:val="center"/>
          </w:tcPr>
          <w:p>
            <w:pPr>
              <w:shd w:val="clear" w:fill="FFFFFF" w:themeFill="background1"/>
              <w:spacing w:before="100" w:beforeAutospacing="1" w:after="100" w:afterAutospacing="1" w:line="360" w:lineRule="auto"/>
              <w:ind w:leftChars="-7" w:hanging="14" w:hangingChars="7"/>
              <w:rPr>
                <w:rFonts w:hint="eastAsia" w:ascii="宋体" w:hAnsi="宋体" w:eastAsia="宋体" w:cs="宋体"/>
                <w:color w:val="auto"/>
                <w:highlight w:val="none"/>
              </w:rPr>
            </w:pPr>
            <w:r>
              <w:rPr>
                <w:rFonts w:hint="eastAsia" w:ascii="宋体" w:hAnsi="宋体" w:eastAsia="宋体" w:cs="宋体"/>
                <w:color w:val="auto"/>
                <w:highlight w:val="none"/>
              </w:rPr>
              <w:t>只能有一个有效报价且小于最高投标限价，未改变招标人提供的暂列金额和暂估价。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16" w:type="dxa"/>
            <w:vMerge w:val="continue"/>
            <w:tcBorders>
              <w:right w:val="single" w:color="auto" w:sz="4" w:space="0"/>
            </w:tcBorders>
            <w:vAlign w:val="center"/>
          </w:tcPr>
          <w:p>
            <w:pPr>
              <w:shd w:val="clear" w:fill="FFFFFF" w:themeFill="background1"/>
              <w:rPr>
                <w:rFonts w:hint="eastAsia" w:ascii="宋体" w:hAnsi="宋体" w:eastAsia="宋体" w:cs="宋体"/>
                <w:color w:val="auto"/>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spacing w:before="100" w:beforeAutospacing="1" w:after="100" w:afterAutospacing="1"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工期</w:t>
            </w:r>
          </w:p>
        </w:tc>
        <w:tc>
          <w:tcPr>
            <w:tcW w:w="5761" w:type="dxa"/>
            <w:tcBorders>
              <w:top w:val="single" w:color="auto" w:sz="4" w:space="0"/>
              <w:left w:val="single" w:color="auto" w:sz="4" w:space="0"/>
              <w:bottom w:val="single" w:color="auto" w:sz="4" w:space="0"/>
            </w:tcBorders>
            <w:vAlign w:val="center"/>
          </w:tcPr>
          <w:p>
            <w:pPr>
              <w:shd w:val="clear" w:fill="FFFFFF" w:themeFill="background1"/>
              <w:spacing w:before="100" w:beforeAutospacing="1" w:after="100" w:afterAutospacing="1"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符合第二章“投标人须知前附表”第1.3.2项规定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16" w:type="dxa"/>
            <w:vMerge w:val="continue"/>
            <w:tcBorders>
              <w:bottom w:val="single" w:color="auto" w:sz="4" w:space="0"/>
              <w:right w:val="single" w:color="auto" w:sz="4" w:space="0"/>
            </w:tcBorders>
            <w:vAlign w:val="center"/>
          </w:tcPr>
          <w:p>
            <w:pPr>
              <w:shd w:val="clear" w:fill="FFFFFF" w:themeFill="background1"/>
              <w:rPr>
                <w:rFonts w:hint="eastAsia" w:ascii="宋体" w:hAnsi="宋体" w:eastAsia="宋体" w:cs="宋体"/>
                <w:color w:val="auto"/>
                <w:highlight w:val="none"/>
              </w:rPr>
            </w:pPr>
          </w:p>
        </w:tc>
        <w:tc>
          <w:tcPr>
            <w:tcW w:w="2223" w:type="dxa"/>
            <w:tcBorders>
              <w:top w:val="single" w:color="auto" w:sz="4" w:space="0"/>
              <w:left w:val="single" w:color="auto" w:sz="4" w:space="0"/>
              <w:bottom w:val="single" w:color="auto" w:sz="4" w:space="0"/>
              <w:right w:val="single" w:color="auto" w:sz="4" w:space="0"/>
            </w:tcBorders>
            <w:vAlign w:val="center"/>
          </w:tcPr>
          <w:p>
            <w:pPr>
              <w:shd w:val="clear" w:fill="FFFFFF" w:themeFill="background1"/>
              <w:spacing w:before="100" w:beforeAutospacing="1" w:after="100" w:afterAutospacing="1"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工程质量</w:t>
            </w:r>
          </w:p>
        </w:tc>
        <w:tc>
          <w:tcPr>
            <w:tcW w:w="5761" w:type="dxa"/>
            <w:tcBorders>
              <w:top w:val="single" w:color="auto" w:sz="4" w:space="0"/>
              <w:left w:val="single" w:color="auto" w:sz="4" w:space="0"/>
              <w:bottom w:val="single" w:color="auto" w:sz="4" w:space="0"/>
            </w:tcBorders>
            <w:vAlign w:val="center"/>
          </w:tcPr>
          <w:p>
            <w:pPr>
              <w:shd w:val="clear" w:fill="FFFFFF" w:themeFill="background1"/>
              <w:spacing w:before="100" w:beforeAutospacing="1" w:after="100" w:afterAutospacing="1"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符合第二章“投标人须知前附表”第1.3.3项规定</w:t>
            </w:r>
          </w:p>
        </w:tc>
      </w:tr>
    </w:tbl>
    <w:p>
      <w:pPr>
        <w:shd w:val="clear" w:fill="FFFFFF" w:themeFill="background1"/>
        <w:rPr>
          <w:rFonts w:hint="eastAsia" w:ascii="宋体" w:hAnsi="宋体" w:eastAsia="宋体" w:cs="宋体"/>
          <w:color w:val="auto"/>
          <w:sz w:val="24"/>
          <w:highlight w:val="none"/>
        </w:rPr>
      </w:pPr>
      <w:r>
        <w:rPr>
          <w:rFonts w:hint="eastAsia" w:ascii="宋体" w:hAnsi="宋体" w:eastAsia="宋体" w:cs="宋体"/>
          <w:bCs/>
          <w:color w:val="auto"/>
          <w:sz w:val="24"/>
          <w:highlight w:val="none"/>
        </w:rPr>
        <w:t>以上参与评审的证书、证件等资料复印件加盖公章胶装在投标文件中， 无需提供原件。</w:t>
      </w:r>
    </w:p>
    <w:p>
      <w:pPr>
        <w:shd w:val="clear" w:fill="FFFFFF" w:themeFill="background1"/>
        <w:tabs>
          <w:tab w:val="left" w:pos="1453"/>
          <w:tab w:val="center" w:pos="4213"/>
        </w:tabs>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ab/>
      </w:r>
    </w:p>
    <w:p>
      <w:pPr>
        <w:shd w:val="clear" w:fill="FFFFFF" w:themeFill="background1"/>
        <w:snapToGrid w:val="0"/>
        <w:spacing w:line="440" w:lineRule="exact"/>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 xml:space="preserve"> </w:t>
      </w:r>
    </w:p>
    <w:p>
      <w:pPr>
        <w:shd w:val="clear" w:fill="FFFFFF" w:themeFill="background1"/>
        <w:snapToGrid w:val="0"/>
        <w:spacing w:line="440" w:lineRule="exact"/>
        <w:rPr>
          <w:rFonts w:hint="eastAsia" w:ascii="宋体" w:hAnsi="宋体" w:eastAsia="宋体" w:cs="宋体"/>
          <w:b/>
          <w:bCs/>
          <w:color w:val="auto"/>
          <w:sz w:val="44"/>
          <w:szCs w:val="44"/>
          <w:highlight w:val="none"/>
        </w:rPr>
      </w:pPr>
    </w:p>
    <w:p>
      <w:pPr>
        <w:shd w:val="clear" w:fill="FFFFFF" w:themeFill="background1"/>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经评审的最低投标价法2</w:t>
      </w:r>
    </w:p>
    <w:p>
      <w:pPr>
        <w:shd w:val="clear" w:fill="FFFFFF" w:themeFill="background1"/>
        <w:snapToGrid w:val="0"/>
        <w:spacing w:line="440" w:lineRule="exact"/>
        <w:rPr>
          <w:rFonts w:hint="eastAsia" w:ascii="宋体" w:hAnsi="宋体" w:eastAsia="宋体" w:cs="宋体"/>
          <w:b/>
          <w:bCs/>
          <w:color w:val="auto"/>
          <w:sz w:val="24"/>
          <w:szCs w:val="24"/>
          <w:highlight w:val="none"/>
        </w:rPr>
      </w:pPr>
    </w:p>
    <w:p>
      <w:pPr>
        <w:shd w:val="clear" w:fill="FFFFFF" w:themeFill="background1"/>
        <w:snapToGrid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1.评标程序</w:t>
      </w:r>
    </w:p>
    <w:p>
      <w:pPr>
        <w:shd w:val="clear" w:fill="FFFFFF" w:themeFill="background1"/>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评标准备→确定评标顺序→评审投标文件→推荐中标候选人。</w:t>
      </w:r>
    </w:p>
    <w:p>
      <w:pPr>
        <w:shd w:val="clear" w:fill="FFFFFF" w:themeFill="background1"/>
        <w:snapToGrid w:val="0"/>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1.1评标准备</w:t>
      </w:r>
    </w:p>
    <w:p>
      <w:pPr>
        <w:shd w:val="clear" w:fill="FFFFFF" w:themeFill="background1"/>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评标委员会熟悉招标文件：</w:t>
      </w:r>
    </w:p>
    <w:p>
      <w:pPr>
        <w:shd w:val="clear" w:fill="FFFFFF" w:themeFill="background1"/>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（1）阅读、研究招标文件和相关评标资料，获取评标所需要的重要信息和数据,至少应了解和熟悉以下内容：招标的目标、招标项目的范围和性质、招标文件规定的主要技术要求、标准和商务条款。</w:t>
      </w:r>
    </w:p>
    <w:p>
      <w:pPr>
        <w:shd w:val="clear" w:fill="FFFFFF" w:themeFill="background1"/>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（2）熟悉招标文件规定的评标标准和评标方法及在评标过程中需要考虑的相关因素。</w:t>
      </w:r>
    </w:p>
    <w:p>
      <w:pPr>
        <w:shd w:val="clear" w:fill="FFFFFF" w:themeFill="background1"/>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（3）核对评标工作用表。</w:t>
      </w:r>
    </w:p>
    <w:p>
      <w:pPr>
        <w:shd w:val="clear" w:fill="FFFFFF" w:themeFill="background1"/>
        <w:snapToGrid w:val="0"/>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1.2评标顺序的确定：</w:t>
      </w:r>
    </w:p>
    <w:p>
      <w:pPr>
        <w:shd w:val="clear" w:fill="FFFFFF" w:themeFill="background1"/>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1.2.1评标基准值的计算原则和方法：</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投标人投标报价大于或等于最高投标限价和未按本文件要求提交投标保证金作否决投标处理，不得入围投标人家数和评标基准值的计算。</w:t>
      </w:r>
    </w:p>
    <w:p>
      <w:pPr>
        <w:shd w:val="clear" w:fill="FFFFFF" w:themeFill="background1"/>
        <w:tabs>
          <w:tab w:val="left" w:pos="0"/>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评标基准值的计算方法： </w:t>
      </w:r>
    </w:p>
    <w:p>
      <w:pPr>
        <w:numPr>
          <w:ilvl w:val="0"/>
          <w:numId w:val="3"/>
        </w:num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入围投标人数在5家及以下的，最低投标报价为评标基准值；          </w:t>
      </w:r>
    </w:p>
    <w:p>
      <w:pPr>
        <w:shd w:val="clear" w:fill="FFFFFF" w:themeFill="background1"/>
        <w:tabs>
          <w:tab w:val="left" w:pos="0"/>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（2）入围投标人数大于5家不足10家的，采用投标报价平均值乘以1减去在开标现场由招标人推选的投标人法定代表人（或其授权委托代理人）从五个数字中（1-5）随机抽取的下浮点，确定评标基准值 ；</w:t>
      </w:r>
    </w:p>
    <w:p>
      <w:pPr>
        <w:shd w:val="clear" w:fill="FFFFFF" w:themeFill="background1"/>
        <w:tabs>
          <w:tab w:val="left" w:pos="0"/>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入围投标人大于或等于10家且不足30家的，采用两次平均确定评标基准值。其计算方法为：全部入围投标报价进行第一次算术平均，第一次平均值以下的投标报价进行第二次算术平均，第二次的平均值作为评标基准值。</w:t>
      </w:r>
    </w:p>
    <w:p>
      <w:pPr>
        <w:shd w:val="clear" w:fill="FFFFFF" w:themeFill="background1"/>
        <w:spacing w:line="44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（4）入围投标人数大于等于30家，按报价由低到高去掉N个报价（N=入围投标人家数*10%，N取整数，小数部分四舍五入，报价中有相同的投标报价作为一个报价 ），其余投标报价最低的确定为评标基准值。</w:t>
      </w:r>
    </w:p>
    <w:p>
      <w:pPr>
        <w:shd w:val="clear" w:fill="FFFFFF" w:themeFill="background1"/>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1.2.2确定投标报价由低到高的评审顺序评审</w:t>
      </w:r>
    </w:p>
    <w:p>
      <w:pPr>
        <w:shd w:val="clear" w:fill="FFFFFF" w:themeFill="background1"/>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照本项目规定评标基准值的计算方法进行计算，得出评标基准值。评标委员会对等于评标基准值及以上的投标报价由低到高取前三名，依次进行评审，若评审有一家不通过时按评标基准值及以上由低到高的顺序依次递补进行评审。评审通过的按按评标基准值及以上的投标报价由低到高依次推荐1-3名中标候选人。</w:t>
      </w:r>
    </w:p>
    <w:p>
      <w:pPr>
        <w:shd w:val="clear" w:fill="FFFFFF" w:themeFill="background1"/>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出现报价相同的情况时，以投标企业在安徽省工程建设监管和信用管理平台信用评分高的优先（由评标委员会现场通过安徽省建筑市场公开信息平台对企业信用评分结果进行查询）；若信用评分也相同时，由评标委员会组长在评标委员会成员及现场监督人员监督下抽签确定名次。</w:t>
      </w:r>
    </w:p>
    <w:p>
      <w:pPr>
        <w:shd w:val="clear" w:fill="FFFFFF" w:themeFill="background1"/>
        <w:snapToGrid w:val="0"/>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1.3投标文件评审</w:t>
      </w:r>
    </w:p>
    <w:p>
      <w:pPr>
        <w:shd w:val="clear" w:fill="FFFFFF" w:themeFill="background1"/>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评标委员会按照本章否决投标文件的条款和《评标办法前附表》要求，按前款排序依次对投标文件进行评审，直至通过评审的投标文件达到第二章“投标人须知前附表”第7.1款规定的中标候选人数。  </w:t>
      </w:r>
    </w:p>
    <w:p>
      <w:pPr>
        <w:shd w:val="clear" w:fill="FFFFFF" w:themeFill="background1"/>
        <w:snapToGrid w:val="0"/>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 推荐中标候选人：</w:t>
      </w:r>
    </w:p>
    <w:p>
      <w:pPr>
        <w:shd w:val="clear" w:fill="FFFFFF" w:themeFill="background1"/>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评标基准值及以上的投标报价由低到高顺序推荐1-3名中标候选人前款通过评审的顺序推荐中标候选人。若通过评审的投标文件达不到第二章“投标人须知前附表”第7.1款规定的中标候选人数，按通过评审的投标文件推荐中标候选人数。</w:t>
      </w:r>
    </w:p>
    <w:p>
      <w:pPr>
        <w:shd w:val="clear" w:fill="FFFFFF" w:themeFill="background1"/>
        <w:spacing w:line="440" w:lineRule="exac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2.投标文件的澄清和补正</w:t>
      </w:r>
    </w:p>
    <w:p>
      <w:pPr>
        <w:shd w:val="clear" w:fill="FFFFFF" w:themeFill="background1"/>
        <w:spacing w:line="440" w:lineRule="exact"/>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2.1在评标过程中，评标委员会应以书面形式要求投标人对所提交的投标文件中不明确的内容进行书面澄清或说明，或者对细微偏差进行补正。评标委员会不接受投标人主动提出的澄清、说明或补正。</w:t>
      </w:r>
    </w:p>
    <w:p>
      <w:pPr>
        <w:shd w:val="clear" w:fill="FFFFFF" w:themeFill="background1"/>
        <w:spacing w:line="440" w:lineRule="exact"/>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澄清、说明和补正不得改变投标文件的实质性内容。投标人的书面澄清、说明和补正属于投标文件的组成部分。</w:t>
      </w:r>
    </w:p>
    <w:p>
      <w:pPr>
        <w:shd w:val="clear" w:fill="FFFFFF" w:themeFill="background1"/>
        <w:spacing w:line="440" w:lineRule="exact"/>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评标委员会对投标人提交的澄清、说明或补正有疑问的，可以要求投标人进一步澄清、说明或补正，直至满足评标委员会的要求。</w:t>
      </w:r>
    </w:p>
    <w:p>
      <w:pPr>
        <w:shd w:val="clear" w:fill="FFFFFF" w:themeFill="background1"/>
        <w:spacing w:line="440" w:lineRule="exac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 评标结果</w:t>
      </w:r>
    </w:p>
    <w:p>
      <w:pPr>
        <w:shd w:val="clear" w:fill="FFFFFF" w:themeFill="background1"/>
        <w:spacing w:line="440" w:lineRule="exact"/>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3.1除第二章“投标人须知”前附表授权直接确定中标人外，评标委员会按照评审结果推荐 1-3名中标候选人，并标明排列顺序。</w:t>
      </w:r>
    </w:p>
    <w:p>
      <w:pPr>
        <w:shd w:val="clear" w:fill="FFFFFF" w:themeFill="background1"/>
        <w:spacing w:line="440" w:lineRule="exact"/>
        <w:ind w:firstLine="480" w:firstLineChars="200"/>
        <w:rPr>
          <w:rFonts w:hint="eastAsia" w:ascii="宋体" w:hAnsi="宋体" w:eastAsia="宋体" w:cs="宋体"/>
          <w:b/>
          <w:bCs/>
          <w:color w:val="auto"/>
          <w:sz w:val="44"/>
          <w:szCs w:val="44"/>
          <w:highlight w:val="none"/>
          <w:u w:val="single"/>
        </w:rPr>
      </w:pPr>
      <w:r>
        <w:rPr>
          <w:rFonts w:hint="eastAsia" w:ascii="宋体" w:hAnsi="宋体" w:eastAsia="宋体" w:cs="宋体"/>
          <w:color w:val="auto"/>
          <w:sz w:val="24"/>
          <w:szCs w:val="24"/>
          <w:highlight w:val="none"/>
        </w:rPr>
        <w:t>3.2 评标委员会完成评标后，应当向招标人提交书面评标报告。</w:t>
      </w:r>
    </w:p>
    <w:p>
      <w:pPr>
        <w:shd w:val="clear" w:fill="FFFFFF" w:themeFill="background1"/>
        <w:snapToGrid w:val="0"/>
        <w:spacing w:line="440" w:lineRule="exact"/>
        <w:jc w:val="center"/>
        <w:rPr>
          <w:rFonts w:hint="eastAsia" w:ascii="宋体" w:hAnsi="宋体" w:eastAsia="宋体" w:cs="宋体"/>
          <w:b/>
          <w:bCs/>
          <w:color w:val="auto"/>
          <w:sz w:val="44"/>
          <w:szCs w:val="44"/>
          <w:highlight w:val="none"/>
          <w:u w:val="single"/>
        </w:rPr>
      </w:pPr>
    </w:p>
    <w:p>
      <w:pPr>
        <w:shd w:val="clear" w:fill="FFFFFF" w:themeFill="background1"/>
        <w:spacing w:line="420" w:lineRule="exact"/>
        <w:ind w:firstLine="479"/>
        <w:outlineLvl w:val="3"/>
        <w:rPr>
          <w:rFonts w:hint="eastAsia" w:ascii="宋体" w:hAnsi="宋体" w:eastAsia="宋体" w:cs="宋体"/>
          <w:color w:val="auto"/>
          <w:sz w:val="24"/>
          <w:szCs w:val="24"/>
          <w:highlight w:val="none"/>
        </w:rPr>
      </w:pPr>
      <w:r>
        <w:rPr>
          <w:rFonts w:hint="eastAsia" w:ascii="宋体" w:hAnsi="宋体" w:eastAsia="宋体" w:cs="宋体"/>
          <w:b/>
          <w:bCs/>
          <w:color w:val="auto"/>
          <w:sz w:val="44"/>
          <w:szCs w:val="44"/>
          <w:highlight w:val="none"/>
          <w:u w:val="single"/>
        </w:rPr>
        <w:br w:type="page"/>
      </w:r>
    </w:p>
    <w:p>
      <w:pPr>
        <w:shd w:val="clear" w:fill="FFFFFF" w:themeFill="background1"/>
        <w:jc w:val="center"/>
        <w:outlineLvl w:val="0"/>
        <w:rPr>
          <w:rFonts w:hint="eastAsia" w:ascii="宋体" w:hAnsi="宋体" w:eastAsia="宋体" w:cs="宋体"/>
          <w:b/>
          <w:color w:val="auto"/>
          <w:sz w:val="32"/>
          <w:szCs w:val="32"/>
          <w:highlight w:val="none"/>
        </w:rPr>
      </w:pPr>
      <w:bookmarkStart w:id="237" w:name="_Toc152042387"/>
      <w:bookmarkStart w:id="238" w:name="_Toc152045609"/>
      <w:bookmarkStart w:id="239" w:name="_Toc246996995"/>
      <w:bookmarkStart w:id="240" w:name="_Toc144974577"/>
      <w:bookmarkStart w:id="241" w:name="_Toc179632627"/>
      <w:bookmarkStart w:id="242" w:name="_Toc247085767"/>
      <w:bookmarkStart w:id="243" w:name="_Toc296602497"/>
      <w:bookmarkStart w:id="244" w:name="_Toc246996252"/>
      <w:bookmarkStart w:id="245" w:name="_Toc368985790"/>
      <w:bookmarkStart w:id="246" w:name="_Toc2789"/>
      <w:bookmarkStart w:id="247" w:name="_Toc18853_WPSOffice_Level1"/>
      <w:r>
        <w:rPr>
          <w:rFonts w:hint="eastAsia" w:ascii="宋体" w:hAnsi="宋体" w:eastAsia="宋体" w:cs="宋体"/>
          <w:b/>
          <w:color w:val="auto"/>
          <w:sz w:val="32"/>
          <w:szCs w:val="32"/>
          <w:highlight w:val="none"/>
        </w:rPr>
        <w:t>第四章 合同条款及格</w:t>
      </w:r>
      <w:bookmarkEnd w:id="237"/>
      <w:bookmarkEnd w:id="238"/>
      <w:bookmarkEnd w:id="239"/>
      <w:bookmarkEnd w:id="240"/>
      <w:bookmarkEnd w:id="241"/>
      <w:bookmarkEnd w:id="242"/>
      <w:bookmarkEnd w:id="243"/>
      <w:bookmarkEnd w:id="244"/>
      <w:r>
        <w:rPr>
          <w:rFonts w:hint="eastAsia" w:ascii="宋体" w:hAnsi="宋体" w:eastAsia="宋体" w:cs="宋体"/>
          <w:b/>
          <w:color w:val="auto"/>
          <w:sz w:val="32"/>
          <w:szCs w:val="32"/>
          <w:highlight w:val="none"/>
        </w:rPr>
        <w:t>式</w:t>
      </w:r>
      <w:bookmarkEnd w:id="245"/>
      <w:bookmarkEnd w:id="246"/>
      <w:bookmarkEnd w:id="247"/>
      <w:bookmarkStart w:id="248" w:name="_Toc179632785"/>
      <w:bookmarkStart w:id="249" w:name="_Toc152045767"/>
      <w:bookmarkStart w:id="250" w:name="_Toc144974826"/>
      <w:bookmarkStart w:id="251" w:name="_Toc152042546"/>
      <w:r>
        <w:rPr>
          <w:rFonts w:hint="eastAsia" w:ascii="宋体" w:hAnsi="宋体" w:eastAsia="宋体" w:cs="宋体"/>
          <w:b/>
          <w:color w:val="auto"/>
          <w:sz w:val="32"/>
          <w:szCs w:val="32"/>
          <w:highlight w:val="none"/>
        </w:rPr>
        <w:t xml:space="preserve"> </w:t>
      </w:r>
    </w:p>
    <w:p>
      <w:pPr>
        <w:shd w:val="clear" w:fill="FFFFFF" w:themeFill="background1"/>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hd w:val="clear" w:fill="FFFFFF" w:themeFill="background1"/>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通用条款</w:t>
      </w:r>
    </w:p>
    <w:p>
      <w:pPr>
        <w:shd w:val="clear" w:fill="FFFFFF" w:themeFill="background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见（GF—2013—0201）建设工程施工合同（示范文本）</w:t>
      </w:r>
    </w:p>
    <w:p>
      <w:pPr>
        <w:shd w:val="clear" w:fill="FFFFFF" w:themeFill="background1"/>
        <w:rPr>
          <w:rFonts w:hint="eastAsia" w:ascii="宋体" w:hAnsi="宋体" w:eastAsia="宋体" w:cs="宋体"/>
          <w:color w:val="auto"/>
          <w:sz w:val="24"/>
          <w:highlight w:val="none"/>
        </w:rPr>
      </w:pPr>
    </w:p>
    <w:p>
      <w:pPr>
        <w:shd w:val="clear" w:fill="FFFFFF" w:themeFill="background1"/>
        <w:spacing w:after="156" w:afterLines="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pacing w:val="40"/>
          <w:sz w:val="32"/>
          <w:szCs w:val="32"/>
          <w:highlight w:val="none"/>
        </w:rPr>
        <w:t>专用合同条款</w:t>
      </w:r>
    </w:p>
    <w:p>
      <w:pPr>
        <w:shd w:val="clear" w:fill="FFFFFF" w:themeFill="background1"/>
        <w:spacing w:line="440" w:lineRule="exact"/>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1.一般约定</w:t>
      </w:r>
    </w:p>
    <w:p>
      <w:pPr>
        <w:shd w:val="clear" w:fill="FFFFFF" w:themeFill="background1"/>
        <w:spacing w:line="440" w:lineRule="exact"/>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1.3法律 </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中华人民共和国合同法》、《中华人民共和国建筑法》、《中华人民共和国招投标法》、《中华人民共和国政府采购法》、《中华人民共和国政府采购法实施条例》、《建设工程质量管理条例》、《建设工程安全生产条例》以及国家、地方相关法律、法规及规定</w:t>
      </w:r>
      <w:r>
        <w:rPr>
          <w:rFonts w:hint="eastAsia" w:ascii="宋体" w:hAnsi="宋体" w:eastAsia="宋体" w:cs="宋体"/>
          <w:color w:val="auto"/>
          <w:sz w:val="24"/>
          <w:szCs w:val="24"/>
          <w:highlight w:val="none"/>
        </w:rPr>
        <w:t>。</w:t>
      </w:r>
    </w:p>
    <w:p>
      <w:pPr>
        <w:shd w:val="clear" w:fill="FFFFFF" w:themeFill="background1"/>
        <w:spacing w:line="440" w:lineRule="exact"/>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 合同文件的优先顺序</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pPr>
        <w:shd w:val="clear" w:fill="FFFFFF" w:themeFill="background1"/>
        <w:spacing w:line="440" w:lineRule="exact"/>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1.13工程量清单错误的修正</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否</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hd w:val="clear" w:fill="FFFFFF" w:themeFill="background1"/>
        <w:spacing w:line="440" w:lineRule="exact"/>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 联络</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1.7.1发包人和承包人应当在</w:t>
      </w:r>
      <w:r>
        <w:rPr>
          <w:rFonts w:hint="eastAsia" w:ascii="宋体" w:hAnsi="宋体" w:eastAsia="宋体" w:cs="宋体"/>
          <w:color w:val="auto"/>
          <w:sz w:val="24"/>
          <w:szCs w:val="24"/>
          <w:highlight w:val="none"/>
          <w:u w:val="single"/>
        </w:rPr>
        <w:t xml:space="preserve">3 </w:t>
      </w:r>
      <w:r>
        <w:rPr>
          <w:rFonts w:hint="eastAsia" w:ascii="宋体" w:hAnsi="宋体" w:eastAsia="宋体" w:cs="宋体"/>
          <w:color w:val="auto"/>
          <w:sz w:val="24"/>
          <w:szCs w:val="24"/>
          <w:highlight w:val="none"/>
        </w:rPr>
        <w:t>天内将与合同有关的通知、批准、证明、证书、指示、指令、要求、请求、同意、意见、确定和决定等书面函件送达对方当事人。</w:t>
      </w:r>
    </w:p>
    <w:p>
      <w:pPr>
        <w:shd w:val="clear" w:fill="FFFFFF" w:themeFill="background1"/>
        <w:spacing w:line="440" w:lineRule="exact"/>
        <w:outlineLvl w:val="2"/>
        <w:rPr>
          <w:rFonts w:hint="eastAsia" w:ascii="宋体" w:hAnsi="宋体" w:eastAsia="宋体" w:cs="宋体"/>
          <w:b/>
          <w:color w:val="auto"/>
          <w:sz w:val="24"/>
          <w:szCs w:val="24"/>
          <w:highlight w:val="none"/>
        </w:rPr>
      </w:pPr>
      <w:bookmarkStart w:id="252" w:name="_Toc351203635"/>
      <w:r>
        <w:rPr>
          <w:rFonts w:hint="eastAsia" w:ascii="宋体" w:hAnsi="宋体" w:eastAsia="宋体" w:cs="宋体"/>
          <w:b/>
          <w:color w:val="auto"/>
          <w:sz w:val="24"/>
          <w:szCs w:val="24"/>
          <w:highlight w:val="none"/>
        </w:rPr>
        <w:t>3</w:t>
      </w:r>
      <w:bookmarkStart w:id="253" w:name="_Toc296891198"/>
      <w:bookmarkStart w:id="254" w:name="_Toc296346659"/>
      <w:bookmarkStart w:id="255" w:name="_Toc296890986"/>
      <w:bookmarkStart w:id="256" w:name="_Toc297120458"/>
      <w:bookmarkStart w:id="257" w:name="_Toc296944497"/>
      <w:bookmarkStart w:id="258" w:name="_Toc297048344"/>
      <w:bookmarkStart w:id="259" w:name="_Toc292559363"/>
      <w:bookmarkStart w:id="260" w:name="_Toc296503158"/>
      <w:bookmarkStart w:id="261" w:name="_Toc296347157"/>
      <w:bookmarkStart w:id="262" w:name="_Toc292559868"/>
      <w:r>
        <w:rPr>
          <w:rFonts w:hint="eastAsia" w:ascii="宋体" w:hAnsi="宋体" w:eastAsia="宋体" w:cs="宋体"/>
          <w:b/>
          <w:color w:val="auto"/>
          <w:sz w:val="24"/>
          <w:szCs w:val="24"/>
          <w:highlight w:val="none"/>
        </w:rPr>
        <w:t>. 承包人</w:t>
      </w:r>
      <w:bookmarkEnd w:id="252"/>
    </w:p>
    <w:bookmarkEnd w:id="253"/>
    <w:bookmarkEnd w:id="254"/>
    <w:bookmarkEnd w:id="255"/>
    <w:bookmarkEnd w:id="256"/>
    <w:bookmarkEnd w:id="257"/>
    <w:bookmarkEnd w:id="258"/>
    <w:bookmarkEnd w:id="259"/>
    <w:bookmarkEnd w:id="260"/>
    <w:bookmarkEnd w:id="261"/>
    <w:bookmarkEnd w:id="262"/>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（5）承包人提交的竣工资料的内容：</w:t>
      </w:r>
      <w:r>
        <w:rPr>
          <w:rFonts w:hint="eastAsia" w:ascii="宋体" w:hAnsi="宋体" w:eastAsia="宋体" w:cs="宋体"/>
          <w:color w:val="auto"/>
          <w:sz w:val="24"/>
          <w:szCs w:val="24"/>
          <w:highlight w:val="none"/>
          <w:u w:val="single"/>
        </w:rPr>
        <w:t xml:space="preserve">施工技术管理资料、工程质量控制资料、工程竣工图、工程竣工总结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 xml:space="preserve">  3  套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由承包人承担</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竣工验收后 10 日内</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（6）承包人应履行的其他义务：</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（1）开工前做好施工现场道路的硬化处理，确保不出现卷泥上路，施工现场围墙符合JGJ59—99标准及有关部门对文明施工的要求。</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（2）承担施工安全保卫工作及非夜间施工照明的责任和要求：由承包人负责并承担相关费用。</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（3）向发包人提供的办公室和生活房屋及设施的要求：为发包人、监理单位免费提供足够的办公室和办公设备。</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（4）已完工程成品保护的特殊要求及费用承担：已竣工工程未交付发包人之前所发生的保护工作由承包人负责并承担相关费用。发包人要求承包人采取特殊措施保护的工程部位所发生的相关费用由发包人承担。</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（5）施工场地清洁卫生的要求：符合阜阳市对施工场地文明施工和清洁卫生的有关规定。</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（6）应提供计划、报表的名称及完成时间：每月25日报下月工程进度、计划报表。</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项目经理</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项目经理：</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关于项目经理每月在施工现场的时间要求：</w:t>
      </w:r>
      <w:r>
        <w:rPr>
          <w:rFonts w:hint="eastAsia" w:ascii="宋体" w:hAnsi="宋体" w:eastAsia="宋体" w:cs="宋体"/>
          <w:color w:val="auto"/>
          <w:sz w:val="24"/>
          <w:szCs w:val="24"/>
          <w:highlight w:val="none"/>
          <w:u w:val="single"/>
        </w:rPr>
        <w:t xml:space="preserve"> 施工现场项目经理与投标项目经理要一致，并且为本工程专职项目经理，必须参加各种例会和打卡考勤，发包人对项目经理进行打卡考勤。承包人如果更换项目经理、技术负责人必须征得发包人同意且更换后的项目经理资历、水平不得降低，方可更换，并分别支付发包人违约金5万元和2万元后方可更换。项目经理、技术负责人必须保证每个月不少于22天常驻现场组织施工，每天在岗时间不少于6小时</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项目经理未经批准，擅自离开施工现场的违约责任：</w:t>
      </w:r>
      <w:r>
        <w:rPr>
          <w:rFonts w:hint="eastAsia" w:ascii="宋体" w:hAnsi="宋体" w:eastAsia="宋体" w:cs="宋体"/>
          <w:color w:val="auto"/>
          <w:sz w:val="24"/>
          <w:szCs w:val="24"/>
          <w:highlight w:val="none"/>
          <w:u w:val="single"/>
        </w:rPr>
        <w:t>首次支付违约金3000元；第二次支付违约金10000元；第三次将视为违约，发包人有权中止合同，同时履约保证金不予退还</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承包人擅自更换项目经理、技术负责人的违约责任：</w:t>
      </w:r>
      <w:r>
        <w:rPr>
          <w:rFonts w:hint="eastAsia" w:ascii="宋体" w:hAnsi="宋体" w:eastAsia="宋体" w:cs="宋体"/>
          <w:b/>
          <w:color w:val="auto"/>
          <w:highlight w:val="none"/>
          <w:u w:val="single"/>
        </w:rPr>
        <w:t>承包人支付发包人10万元、5万元违约金，发包人有权中止合同，同时履约保证金不予退还</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承包人无正当理由更换项目经理、技术负责人的违约责任：</w:t>
      </w:r>
      <w:r>
        <w:rPr>
          <w:rFonts w:hint="eastAsia" w:ascii="宋体" w:hAnsi="宋体" w:eastAsia="宋体" w:cs="宋体"/>
          <w:color w:val="auto"/>
          <w:sz w:val="24"/>
          <w:szCs w:val="24"/>
          <w:highlight w:val="none"/>
          <w:u w:val="single"/>
        </w:rPr>
        <w:t xml:space="preserve"> 须征得发包人同意并分别支付发包人5万元、2万元违约金，应至少提前30天以书面形式通知发包人，更换后的项目经理、技术负责人资历、水平不得降低</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 项目管理班子成员更换的约定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（1）因管理人员重大疾病、死亡、调离所在单位、辞职、犯罪、移民等特殊原因确须变更，提供相关证明材料，且经发包方同意更换的；</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（2）因不可抗力等特殊情况必须更换的；</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项目经理、技术负责人外，因其他原因提出更换项目管理人员的，须征得发包人同意并每位成员支付发包人1万元违约金，承包人应至少提前10天以书面形式通知发包人，更换后的人员资历、水平不得降低。</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合同履行期间变更主要管理人员的，承包人应当于变更5个工作日内报有关部门及时进行网上变更。</w:t>
      </w:r>
    </w:p>
    <w:p>
      <w:pPr>
        <w:shd w:val="clear" w:fill="FFFFFF" w:themeFill="background1"/>
        <w:spacing w:line="440" w:lineRule="exact"/>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3.7 履约担保</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承包人提供履约担保的形式、金额及期限的：</w:t>
      </w:r>
      <w:r>
        <w:rPr>
          <w:rFonts w:hint="eastAsia" w:ascii="宋体" w:hAnsi="宋体" w:eastAsia="宋体" w:cs="宋体"/>
          <w:b/>
          <w:color w:val="auto"/>
          <w:highlight w:val="none"/>
          <w:u w:val="single"/>
        </w:rPr>
        <w:t>签订合同前，中标人需向招标人以转账方式提交合同总金额10%作为履约保证金，工程竣工验收合格后一次性无息退还，否则，招标人有权取消其中标资格，其投标保证金不予退还</w:t>
      </w:r>
      <w:r>
        <w:rPr>
          <w:rFonts w:hint="eastAsia" w:ascii="宋体" w:hAnsi="宋体" w:eastAsia="宋体" w:cs="宋体"/>
          <w:color w:val="auto"/>
          <w:sz w:val="24"/>
          <w:szCs w:val="24"/>
          <w:highlight w:val="none"/>
        </w:rPr>
        <w:t>。</w:t>
      </w:r>
    </w:p>
    <w:p>
      <w:pPr>
        <w:shd w:val="clear" w:fill="FFFFFF" w:themeFill="background1"/>
        <w:spacing w:line="440" w:lineRule="exact"/>
        <w:outlineLvl w:val="2"/>
        <w:rPr>
          <w:rFonts w:hint="eastAsia" w:ascii="宋体" w:hAnsi="宋体" w:eastAsia="宋体" w:cs="宋体"/>
          <w:b/>
          <w:bCs/>
          <w:color w:val="auto"/>
          <w:sz w:val="24"/>
          <w:szCs w:val="24"/>
          <w:highlight w:val="none"/>
        </w:rPr>
      </w:pPr>
      <w:bookmarkStart w:id="263" w:name="_Toc351203637"/>
    </w:p>
    <w:p>
      <w:pPr>
        <w:shd w:val="clear" w:fill="FFFFFF" w:themeFill="background1"/>
        <w:spacing w:line="440" w:lineRule="exact"/>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工程质量</w:t>
      </w:r>
      <w:bookmarkEnd w:id="263"/>
    </w:p>
    <w:p>
      <w:pPr>
        <w:shd w:val="clear" w:fill="FFFFFF" w:themeFill="background1"/>
        <w:spacing w:line="440" w:lineRule="exact"/>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5.1 质量要求</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 特殊质量标准和要求：</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hd w:val="clear" w:fill="FFFFFF" w:themeFill="background1"/>
        <w:spacing w:line="440" w:lineRule="exact"/>
        <w:outlineLvl w:val="2"/>
        <w:rPr>
          <w:rFonts w:hint="eastAsia" w:ascii="宋体" w:hAnsi="宋体" w:eastAsia="宋体" w:cs="宋体"/>
          <w:b/>
          <w:color w:val="auto"/>
          <w:sz w:val="24"/>
          <w:szCs w:val="24"/>
          <w:highlight w:val="none"/>
        </w:rPr>
      </w:pPr>
      <w:bookmarkStart w:id="264" w:name="_Toc351203638"/>
      <w:r>
        <w:rPr>
          <w:rFonts w:hint="eastAsia" w:ascii="宋体" w:hAnsi="宋体" w:eastAsia="宋体" w:cs="宋体"/>
          <w:b/>
          <w:color w:val="auto"/>
          <w:sz w:val="24"/>
          <w:szCs w:val="24"/>
          <w:highlight w:val="none"/>
        </w:rPr>
        <w:t>6. 安全文明施工与环境保护</w:t>
      </w:r>
      <w:bookmarkEnd w:id="264"/>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hd w:val="clear" w:fill="FFFFFF" w:themeFill="background1"/>
        <w:spacing w:line="440" w:lineRule="exact"/>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工期和进度</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65" w:name="_Toc300934968"/>
      <w:bookmarkStart w:id="266" w:name="_Toc297123516"/>
      <w:bookmarkStart w:id="267" w:name="_Toc303539125"/>
      <w:bookmarkStart w:id="268" w:name="_Toc297216175"/>
      <w:bookmarkStart w:id="269" w:name="_Toc304295546"/>
      <w:bookmarkStart w:id="270" w:name="_Toc312678010"/>
      <w:bookmarkStart w:id="271" w:name="_Toc312677484"/>
      <w:r>
        <w:rPr>
          <w:rFonts w:hint="eastAsia" w:ascii="宋体" w:hAnsi="宋体" w:eastAsia="宋体" w:cs="宋体"/>
          <w:color w:val="auto"/>
          <w:sz w:val="24"/>
          <w:szCs w:val="24"/>
          <w:highlight w:val="none"/>
        </w:rPr>
        <w:t>.5 工期延误</w:t>
      </w:r>
    </w:p>
    <w:bookmarkEnd w:id="265"/>
    <w:bookmarkEnd w:id="266"/>
    <w:bookmarkEnd w:id="267"/>
    <w:bookmarkEnd w:id="268"/>
    <w:bookmarkEnd w:id="269"/>
    <w:bookmarkEnd w:id="270"/>
    <w:bookmarkEnd w:id="271"/>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72" w:name="_Toc312678012"/>
      <w:bookmarkStart w:id="273" w:name="_Toc318581169"/>
      <w:bookmarkStart w:id="274" w:name="_Toc312677486"/>
      <w:bookmarkStart w:id="275" w:name="_Toc297123518"/>
      <w:bookmarkStart w:id="276" w:name="_Toc304295548"/>
      <w:bookmarkStart w:id="277" w:name="_Toc300934970"/>
      <w:bookmarkStart w:id="278" w:name="_Toc303539127"/>
      <w:bookmarkStart w:id="279" w:name="_Toc297216177"/>
      <w:r>
        <w:rPr>
          <w:rFonts w:hint="eastAsia" w:ascii="宋体" w:hAnsi="宋体" w:eastAsia="宋体" w:cs="宋体"/>
          <w:color w:val="auto"/>
          <w:sz w:val="24"/>
          <w:szCs w:val="24"/>
          <w:highlight w:val="none"/>
        </w:rPr>
        <w:t>.5.2 因承包人原因导致工期延误</w:t>
      </w:r>
    </w:p>
    <w:bookmarkEnd w:id="272"/>
    <w:bookmarkEnd w:id="273"/>
    <w:bookmarkEnd w:id="274"/>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w:t>
      </w:r>
      <w:bookmarkStart w:id="280" w:name="_Toc312678013"/>
      <w:bookmarkStart w:id="281" w:name="_Toc312677487"/>
      <w:bookmarkStart w:id="282" w:name="_Toc318581170"/>
      <w:r>
        <w:rPr>
          <w:rFonts w:hint="eastAsia" w:ascii="宋体" w:hAnsi="宋体" w:eastAsia="宋体" w:cs="宋体"/>
          <w:color w:val="auto"/>
          <w:sz w:val="24"/>
          <w:szCs w:val="24"/>
          <w:highlight w:val="none"/>
        </w:rPr>
        <w:t>承包人原因造成工期延误，逾期竣工违约金的计算方法为：</w:t>
      </w:r>
      <w:r>
        <w:rPr>
          <w:rFonts w:hint="eastAsia" w:ascii="宋体" w:hAnsi="宋体" w:eastAsia="宋体" w:cs="宋体"/>
          <w:color w:val="auto"/>
          <w:sz w:val="24"/>
          <w:szCs w:val="24"/>
          <w:highlight w:val="none"/>
          <w:u w:val="single"/>
        </w:rPr>
        <w:t xml:space="preserve"> 每延期竣工一天，承包人支付发包人1000元违约金；工程延期 30 日以上的，每日按 2000元向发包人支付违约金；违约金最高限额为合同价款的 5 %；延期竣工 60 天以上的，发包人有权解除合同，没收履约保证金，并要求承包人赔偿所有损失。</w:t>
      </w:r>
      <w:r>
        <w:rPr>
          <w:rFonts w:hint="eastAsia" w:ascii="宋体" w:hAnsi="宋体" w:eastAsia="宋体" w:cs="宋体"/>
          <w:color w:val="auto"/>
          <w:sz w:val="24"/>
          <w:szCs w:val="24"/>
          <w:highlight w:val="none"/>
        </w:rPr>
        <w:t>。</w:t>
      </w:r>
      <w:bookmarkEnd w:id="275"/>
      <w:bookmarkEnd w:id="276"/>
      <w:bookmarkEnd w:id="277"/>
      <w:bookmarkEnd w:id="278"/>
      <w:bookmarkEnd w:id="279"/>
      <w:bookmarkEnd w:id="280"/>
      <w:bookmarkEnd w:id="281"/>
    </w:p>
    <w:bookmarkEnd w:id="282"/>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w:t>
      </w:r>
      <w:bookmarkStart w:id="283" w:name="_Toc312678014"/>
      <w:bookmarkStart w:id="284" w:name="_Toc318581171"/>
      <w:r>
        <w:rPr>
          <w:rFonts w:hint="eastAsia" w:ascii="宋体" w:hAnsi="宋体" w:eastAsia="宋体" w:cs="宋体"/>
          <w:color w:val="auto"/>
          <w:sz w:val="24"/>
          <w:szCs w:val="24"/>
          <w:highlight w:val="none"/>
        </w:rPr>
        <w:t>期竣工违约金的上限：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283"/>
    <w:bookmarkEnd w:id="284"/>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hd w:val="clear" w:fill="FFFFFF" w:themeFill="background1"/>
        <w:spacing w:line="440" w:lineRule="exact"/>
        <w:outlineLvl w:val="2"/>
        <w:rPr>
          <w:rFonts w:hint="eastAsia" w:ascii="宋体" w:hAnsi="宋体" w:eastAsia="宋体" w:cs="宋体"/>
          <w:b/>
          <w:color w:val="auto"/>
          <w:sz w:val="24"/>
          <w:szCs w:val="24"/>
          <w:highlight w:val="none"/>
        </w:rPr>
      </w:pPr>
      <w:bookmarkStart w:id="285" w:name="_Toc351203642"/>
      <w:r>
        <w:rPr>
          <w:rFonts w:hint="eastAsia" w:ascii="宋体" w:hAnsi="宋体" w:eastAsia="宋体" w:cs="宋体"/>
          <w:b/>
          <w:color w:val="auto"/>
          <w:sz w:val="24"/>
          <w:szCs w:val="24"/>
          <w:highlight w:val="none"/>
        </w:rPr>
        <w:t>1</w:t>
      </w:r>
      <w:bookmarkStart w:id="286" w:name="_Toc297123540"/>
      <w:bookmarkStart w:id="287" w:name="_Toc292559903"/>
      <w:bookmarkStart w:id="288" w:name="_Toc297048379"/>
      <w:bookmarkStart w:id="289" w:name="_Toc300934989"/>
      <w:bookmarkStart w:id="290" w:name="_Toc297216199"/>
      <w:bookmarkStart w:id="291" w:name="_Toc296891233"/>
      <w:bookmarkStart w:id="292" w:name="_Toc296503193"/>
      <w:bookmarkStart w:id="293" w:name="_Toc296891021"/>
      <w:bookmarkStart w:id="294" w:name="_Toc296346694"/>
      <w:bookmarkStart w:id="295" w:name="_Toc292559398"/>
      <w:bookmarkStart w:id="296" w:name="_Toc296347192"/>
      <w:bookmarkStart w:id="297" w:name="_Toc303539146"/>
      <w:bookmarkStart w:id="298" w:name="_Toc304295566"/>
      <w:bookmarkStart w:id="299" w:name="_Toc297120493"/>
      <w:bookmarkStart w:id="300" w:name="_Toc296944532"/>
      <w:bookmarkStart w:id="301" w:name="_Toc312678025"/>
      <w:bookmarkStart w:id="302" w:name="_Toc312677499"/>
      <w:r>
        <w:rPr>
          <w:rFonts w:hint="eastAsia" w:ascii="宋体" w:hAnsi="宋体" w:eastAsia="宋体" w:cs="宋体"/>
          <w:b/>
          <w:color w:val="auto"/>
          <w:sz w:val="24"/>
          <w:szCs w:val="24"/>
          <w:highlight w:val="none"/>
        </w:rPr>
        <w:t>0. 变更</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bookmarkEnd w:id="301"/>
    <w:bookmarkEnd w:id="302"/>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10.1变更的范围</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暂列金额</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合同当事人关于暂列金额使用的约定：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highlight w:val="none"/>
          <w:u w:val="single"/>
        </w:rPr>
        <w:t>不调整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hd w:val="clear" w:fill="FFFFFF" w:themeFill="background1"/>
        <w:spacing w:line="440" w:lineRule="exact"/>
        <w:outlineLvl w:val="2"/>
        <w:rPr>
          <w:rFonts w:hint="eastAsia" w:ascii="宋体" w:hAnsi="宋体" w:eastAsia="宋体" w:cs="宋体"/>
          <w:b/>
          <w:color w:val="auto"/>
          <w:sz w:val="24"/>
          <w:szCs w:val="24"/>
          <w:highlight w:val="none"/>
        </w:rPr>
      </w:pPr>
      <w:bookmarkStart w:id="303" w:name="_Toc351203643"/>
      <w:r>
        <w:rPr>
          <w:rFonts w:hint="eastAsia" w:ascii="宋体" w:hAnsi="宋体" w:eastAsia="宋体" w:cs="宋体"/>
          <w:b/>
          <w:color w:val="auto"/>
          <w:sz w:val="24"/>
          <w:szCs w:val="24"/>
          <w:highlight w:val="none"/>
        </w:rPr>
        <w:t>11. 价格调整</w:t>
      </w:r>
      <w:bookmarkEnd w:id="303"/>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bookmarkStart w:id="304" w:name="_Toc303539157"/>
      <w:bookmarkStart w:id="305" w:name="_Toc297120501"/>
      <w:bookmarkStart w:id="306" w:name="_Toc296503201"/>
      <w:bookmarkStart w:id="307" w:name="_Toc292559406"/>
      <w:bookmarkStart w:id="308" w:name="_Toc296347200"/>
      <w:bookmarkStart w:id="309" w:name="_Toc296891241"/>
      <w:bookmarkStart w:id="310" w:name="_Toc296346702"/>
      <w:bookmarkStart w:id="311" w:name="_Toc297216209"/>
      <w:bookmarkStart w:id="312" w:name="_Toc296891029"/>
      <w:bookmarkStart w:id="313" w:name="_Toc296944540"/>
      <w:bookmarkStart w:id="314" w:name="_Toc297123550"/>
      <w:bookmarkStart w:id="315" w:name="_Toc292559911"/>
      <w:bookmarkStart w:id="316" w:name="_Toc312678039"/>
      <w:bookmarkStart w:id="317" w:name="_Toc300935000"/>
      <w:bookmarkStart w:id="318" w:name="_Toc304295577"/>
      <w:bookmarkStart w:id="319" w:name="_Toc297048387"/>
      <w:r>
        <w:rPr>
          <w:rFonts w:hint="eastAsia" w:ascii="宋体" w:hAnsi="宋体" w:eastAsia="宋体" w:cs="宋体"/>
          <w:color w:val="auto"/>
          <w:sz w:val="24"/>
          <w:szCs w:val="24"/>
          <w:highlight w:val="none"/>
        </w:rPr>
        <w:t>11.1 市场价格波动引起的调整</w:t>
      </w:r>
    </w:p>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市场价格波动是否调整合同价格的约定：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highlight w:val="none"/>
          <w:u w:val="single"/>
        </w:rPr>
        <w:t>不调整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因市场价格波动调整合同价格，采用以下第</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种方式对合同价格进行调整：</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第1种方式：采用价格指数进行价格调整。</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关于各可调因子、定值和变值权重，以及基本价格指数及其来源的约定：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第2种方式：采用造价信息进行价格调整。</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（2）关于基准价格的约定：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%时，或材料单价跌幅以已标价工程量清单或预算书中载明材料单价为基础超过</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%时，其超过部分据实调整。</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%时，材料单价涨幅以已标价工程量清单或预算书中载明材料单价为基础超过</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%时，其超过部分据实调整。</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%时，其超过部分据实调整。</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第3种方式：其他价格调整方式：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hd w:val="clear" w:fill="FFFFFF" w:themeFill="background1"/>
        <w:spacing w:line="440" w:lineRule="exact"/>
        <w:outlineLvl w:val="2"/>
        <w:rPr>
          <w:rFonts w:hint="eastAsia" w:ascii="宋体" w:hAnsi="宋体" w:eastAsia="宋体" w:cs="宋体"/>
          <w:b/>
          <w:color w:val="auto"/>
          <w:sz w:val="24"/>
          <w:szCs w:val="24"/>
          <w:highlight w:val="none"/>
        </w:rPr>
      </w:pPr>
      <w:bookmarkStart w:id="320" w:name="_Toc296503205"/>
      <w:bookmarkStart w:id="321" w:name="_Toc296891245"/>
      <w:bookmarkStart w:id="322" w:name="_Toc296891033"/>
      <w:bookmarkStart w:id="323" w:name="_Toc296944544"/>
      <w:bookmarkStart w:id="324" w:name="_Toc292559915"/>
      <w:bookmarkStart w:id="325" w:name="_Toc296346706"/>
      <w:bookmarkStart w:id="326" w:name="_Toc297048391"/>
      <w:bookmarkStart w:id="327" w:name="_Toc292559410"/>
      <w:bookmarkStart w:id="328" w:name="_Toc297120505"/>
      <w:bookmarkStart w:id="329" w:name="_Toc296347204"/>
      <w:bookmarkStart w:id="330" w:name="_Toc351203644"/>
      <w:bookmarkStart w:id="331" w:name="_Toc297123552"/>
      <w:bookmarkStart w:id="332" w:name="_Toc297216211"/>
      <w:bookmarkStart w:id="333" w:name="_Toc304295579"/>
      <w:bookmarkStart w:id="334" w:name="_Toc312678040"/>
      <w:bookmarkStart w:id="335" w:name="_Toc303539159"/>
      <w:bookmarkStart w:id="336" w:name="_Toc300935002"/>
      <w:r>
        <w:rPr>
          <w:rFonts w:hint="eastAsia" w:ascii="宋体" w:hAnsi="宋体" w:eastAsia="宋体" w:cs="宋体"/>
          <w:b/>
          <w:color w:val="auto"/>
          <w:sz w:val="24"/>
          <w:szCs w:val="24"/>
          <w:highlight w:val="none"/>
        </w:rPr>
        <w:t xml:space="preserve">12. </w:t>
      </w:r>
      <w:bookmarkEnd w:id="320"/>
      <w:bookmarkEnd w:id="321"/>
      <w:bookmarkEnd w:id="322"/>
      <w:bookmarkEnd w:id="323"/>
      <w:bookmarkEnd w:id="324"/>
      <w:bookmarkEnd w:id="325"/>
      <w:bookmarkEnd w:id="326"/>
      <w:bookmarkEnd w:id="327"/>
      <w:bookmarkEnd w:id="328"/>
      <w:bookmarkEnd w:id="329"/>
      <w:r>
        <w:rPr>
          <w:rFonts w:hint="eastAsia" w:ascii="宋体" w:hAnsi="宋体" w:eastAsia="宋体" w:cs="宋体"/>
          <w:b/>
          <w:color w:val="auto"/>
          <w:sz w:val="24"/>
          <w:szCs w:val="24"/>
          <w:highlight w:val="none"/>
        </w:rPr>
        <w:t>合同价格、计量与支付</w:t>
      </w:r>
      <w:bookmarkEnd w:id="330"/>
    </w:p>
    <w:bookmarkEnd w:id="331"/>
    <w:bookmarkEnd w:id="332"/>
    <w:bookmarkEnd w:id="333"/>
    <w:bookmarkEnd w:id="334"/>
    <w:bookmarkEnd w:id="335"/>
    <w:bookmarkEnd w:id="336"/>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bookmarkStart w:id="337" w:name="_Toc292559916"/>
      <w:bookmarkStart w:id="338" w:name="_Toc267251461"/>
      <w:bookmarkStart w:id="339" w:name="_Toc292559411"/>
      <w:bookmarkStart w:id="340" w:name="_Toc297048392"/>
      <w:bookmarkStart w:id="341" w:name="_Toc296891034"/>
      <w:bookmarkStart w:id="342" w:name="_Toc296346707"/>
      <w:bookmarkStart w:id="343" w:name="_Toc296891246"/>
      <w:bookmarkStart w:id="344" w:name="_Toc296347205"/>
      <w:bookmarkStart w:id="345" w:name="_Toc296503206"/>
      <w:bookmarkStart w:id="346" w:name="_Toc296944545"/>
      <w:bookmarkStart w:id="347" w:name="_Toc297120506"/>
      <w:bookmarkStart w:id="348" w:name="_Toc297123553"/>
      <w:bookmarkStart w:id="349" w:name="_Toc297216212"/>
      <w:bookmarkStart w:id="350" w:name="_Toc303539160"/>
      <w:bookmarkStart w:id="351" w:name="_Toc300935003"/>
      <w:bookmarkStart w:id="352" w:name="_Toc304295580"/>
      <w:bookmarkStart w:id="353" w:name="_Toc312678041"/>
      <w:r>
        <w:rPr>
          <w:rFonts w:hint="eastAsia" w:ascii="宋体" w:hAnsi="宋体" w:eastAsia="宋体" w:cs="宋体"/>
          <w:color w:val="auto"/>
          <w:sz w:val="24"/>
          <w:szCs w:val="24"/>
          <w:highlight w:val="none"/>
        </w:rPr>
        <w:t>12.1 合</w:t>
      </w:r>
      <w:bookmarkEnd w:id="337"/>
      <w:bookmarkEnd w:id="338"/>
      <w:bookmarkEnd w:id="339"/>
      <w:r>
        <w:rPr>
          <w:rFonts w:hint="eastAsia" w:ascii="宋体" w:hAnsi="宋体" w:eastAsia="宋体" w:cs="宋体"/>
          <w:color w:val="auto"/>
          <w:sz w:val="24"/>
          <w:szCs w:val="24"/>
          <w:highlight w:val="none"/>
        </w:rPr>
        <w:t>同价</w:t>
      </w:r>
      <w:bookmarkEnd w:id="340"/>
      <w:bookmarkEnd w:id="341"/>
      <w:bookmarkEnd w:id="342"/>
      <w:bookmarkEnd w:id="343"/>
      <w:bookmarkEnd w:id="344"/>
      <w:bookmarkEnd w:id="345"/>
      <w:bookmarkEnd w:id="346"/>
      <w:bookmarkEnd w:id="347"/>
      <w:r>
        <w:rPr>
          <w:rFonts w:hint="eastAsia" w:ascii="宋体" w:hAnsi="宋体" w:eastAsia="宋体" w:cs="宋体"/>
          <w:color w:val="auto"/>
          <w:sz w:val="24"/>
          <w:szCs w:val="24"/>
          <w:highlight w:val="none"/>
        </w:rPr>
        <w:t>格形式</w:t>
      </w:r>
    </w:p>
    <w:p>
      <w:pPr>
        <w:shd w:val="clear" w:fill="FFFFFF" w:themeFill="background1"/>
        <w:tabs>
          <w:tab w:val="left" w:pos="4022"/>
        </w:tabs>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本合同价款采用第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种方式确定。</w:t>
      </w:r>
      <w:bookmarkEnd w:id="348"/>
      <w:bookmarkEnd w:id="349"/>
      <w:bookmarkEnd w:id="350"/>
      <w:bookmarkEnd w:id="351"/>
      <w:bookmarkEnd w:id="352"/>
      <w:bookmarkEnd w:id="353"/>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numPr>
          <w:ilvl w:val="0"/>
          <w:numId w:val="4"/>
        </w:num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总价合同。</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合同协议书中约定采用总价合同形式的项目，已标价工程量清单中的各项工程量对合同双方不具合同约束力。</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总价包含的风险范围：</w:t>
      </w:r>
      <w:r>
        <w:rPr>
          <w:rFonts w:hint="eastAsia" w:ascii="宋体" w:hAnsi="宋体" w:eastAsia="宋体" w:cs="宋体"/>
          <w:color w:val="auto"/>
          <w:sz w:val="24"/>
          <w:szCs w:val="24"/>
          <w:highlight w:val="none"/>
          <w:u w:val="single"/>
        </w:rPr>
        <w:t xml:space="preserve"> 人工、材料、机械费用的市场价格变化。除政策性调整及不可抗力以外的其他风险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投标人在投标报价时已考虑，不再另行计取</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12.2风险范围以外合同价格的调整方法：</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由于设计变更、签证等引起的工程量变化，按实际调整。设计变更、签证引起新的工程量清单项目，其相应综合单价按以下规则由承包人提出，经发包人、审计单位、监理单位共同确认后作为结算依据，并执行阜阳市政府相关文件规定</w:t>
      </w:r>
      <w:r>
        <w:rPr>
          <w:rFonts w:hint="eastAsia" w:ascii="宋体" w:hAnsi="宋体" w:eastAsia="宋体" w:cs="宋体"/>
          <w:color w:val="auto"/>
          <w:sz w:val="24"/>
          <w:szCs w:val="24"/>
          <w:highlight w:val="none"/>
        </w:rPr>
        <w:t>。</w:t>
      </w:r>
    </w:p>
    <w:p>
      <w:pPr>
        <w:numPr>
          <w:ilvl w:val="0"/>
          <w:numId w:val="5"/>
        </w:num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最高投标限价中已列项目，按最高投标限价中的综合单价*报价浮动率 。</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b.如工程量清单与施工图纸不一致；工程量清单描述不清的；工程量清单中未列的项目及数量有差异的项目，由投标人在投标报价中自行考虑费用，视为投标人已列入投标总价中。</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c.工程变更中的报价：招标人最高投标限价中有相同或类似综合单价的，按相同或类似综合单价*报价浮动率记取；承包人投标报价中无相同或类似综合单价的，参照招标文件重新组价；其中材料价格按招标人最高投标限价中的材料价格执行；若最高投标限价中没有，执行编制最高投标限价时采用的同期阜阳市建设工程造价管理站发布的信息价，阜阳市建设工程造价管理站发布的信息价中若没有，按造价管理部门备案价格执行；机械台班单价按上述机械台班费用定额执行；人工费单价按安徽省最新政策文件规定执行。重新组价部分按最高限价与中标人投标报价的报价浮动率同比例下浮后进行结算。</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bookmarkStart w:id="354" w:name="_Toc303539163"/>
      <w:bookmarkStart w:id="355" w:name="_Toc297048397"/>
      <w:bookmarkStart w:id="356" w:name="_Toc296346712"/>
      <w:bookmarkStart w:id="357" w:name="_Toc297120511"/>
      <w:bookmarkStart w:id="358" w:name="_Toc292559921"/>
      <w:bookmarkStart w:id="359" w:name="_Toc296503211"/>
      <w:bookmarkStart w:id="360" w:name="_Toc296944550"/>
      <w:bookmarkStart w:id="361" w:name="_Toc292559416"/>
      <w:bookmarkStart w:id="362" w:name="_Toc300935006"/>
      <w:bookmarkStart w:id="363" w:name="_Toc297123556"/>
      <w:bookmarkStart w:id="364" w:name="_Toc296347210"/>
      <w:bookmarkStart w:id="365" w:name="_Toc296891039"/>
      <w:bookmarkStart w:id="366" w:name="_Toc297216215"/>
      <w:bookmarkStart w:id="367" w:name="_Toc296891251"/>
      <w:r>
        <w:rPr>
          <w:rFonts w:hint="eastAsia" w:ascii="宋体" w:hAnsi="宋体" w:eastAsia="宋体" w:cs="宋体"/>
          <w:color w:val="auto"/>
          <w:sz w:val="24"/>
          <w:szCs w:val="24"/>
          <w:highlight w:val="none"/>
        </w:rPr>
        <w:t>12.4.1 付款周期</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关于付款周期的约定：</w:t>
      </w:r>
      <w:r>
        <w:rPr>
          <w:rFonts w:hint="eastAsia" w:ascii="宋体" w:hAnsi="宋体" w:eastAsia="宋体" w:cs="宋体"/>
          <w:b/>
          <w:color w:val="auto"/>
          <w:sz w:val="24"/>
          <w:szCs w:val="24"/>
          <w:highlight w:val="none"/>
          <w:u w:val="single"/>
        </w:rPr>
        <w:t>项目无工程预付款。工程款按形象进度支付已完成工程量的80％进度款，工程竣工验收合格并完成审计结算后，付至审计结算价的97％，审计结算价的3%待保修期（2年）满后，无质量问题一次性无息付清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color w:val="auto"/>
          <w:sz w:val="24"/>
          <w:szCs w:val="24"/>
          <w:highlight w:val="none"/>
          <w:u w:val="single"/>
        </w:rPr>
        <w:t xml:space="preserve">施工单位项目经理意见，监理单位意见，建设单位甲方代表意见，建设单位基建处、审计处、财务处等单位签署意见，按规定报批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Fonts w:hint="eastAsia" w:ascii="宋体" w:hAnsi="宋体" w:eastAsia="宋体" w:cs="宋体"/>
          <w:color w:val="auto"/>
          <w:sz w:val="24"/>
          <w:szCs w:val="24"/>
          <w:highlight w:val="none"/>
        </w:rPr>
        <w:t>2.4.3 进度付款申请单的提交</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hd w:val="clear" w:fill="FFFFFF" w:themeFill="background1"/>
        <w:spacing w:line="440" w:lineRule="exact"/>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 验收和工程试车</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承包人向发包人移交工程的期限：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发包人未按本合同约定接收全部或部分工程的，违约金的计算方法为：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hd w:val="clear" w:fill="FFFFFF" w:themeFill="background1"/>
        <w:spacing w:line="440" w:lineRule="exact"/>
        <w:outlineLvl w:val="2"/>
        <w:rPr>
          <w:rFonts w:hint="eastAsia" w:ascii="宋体" w:hAnsi="宋体" w:eastAsia="宋体" w:cs="宋体"/>
          <w:b/>
          <w:color w:val="auto"/>
          <w:sz w:val="24"/>
          <w:szCs w:val="24"/>
          <w:highlight w:val="none"/>
        </w:rPr>
      </w:pPr>
      <w:bookmarkStart w:id="368" w:name="_Toc351203646"/>
      <w:r>
        <w:rPr>
          <w:rFonts w:hint="eastAsia" w:ascii="宋体" w:hAnsi="宋体" w:eastAsia="宋体" w:cs="宋体"/>
          <w:b/>
          <w:color w:val="auto"/>
          <w:sz w:val="24"/>
          <w:szCs w:val="24"/>
          <w:highlight w:val="none"/>
        </w:rPr>
        <w:t>14. 竣工结算</w:t>
      </w:r>
      <w:bookmarkEnd w:id="368"/>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竣工付款申请</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竣工付款申请单应包括的内容：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highlight w:val="none"/>
          <w:u w:val="single"/>
        </w:rPr>
        <w:t>验收、监理、审计结算等材料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14.4.1 最终结清申请单</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承包人提交最终结算申请单的期限：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hd w:val="clear" w:fill="FFFFFF" w:themeFill="background1"/>
        <w:spacing w:line="440" w:lineRule="exact"/>
        <w:outlineLvl w:val="2"/>
        <w:rPr>
          <w:rFonts w:hint="eastAsia" w:ascii="宋体" w:hAnsi="宋体" w:eastAsia="宋体" w:cs="宋体"/>
          <w:b/>
          <w:color w:val="auto"/>
          <w:sz w:val="24"/>
          <w:szCs w:val="24"/>
          <w:highlight w:val="none"/>
        </w:rPr>
      </w:pPr>
      <w:bookmarkStart w:id="369" w:name="_Toc351203647"/>
      <w:bookmarkStart w:id="370" w:name="_Toc267251483"/>
      <w:bookmarkStart w:id="371" w:name="_Toc267251482"/>
      <w:bookmarkStart w:id="372" w:name="_Toc267251484"/>
      <w:r>
        <w:rPr>
          <w:rFonts w:hint="eastAsia" w:ascii="宋体" w:hAnsi="宋体" w:eastAsia="宋体" w:cs="宋体"/>
          <w:b/>
          <w:color w:val="auto"/>
          <w:sz w:val="24"/>
          <w:szCs w:val="24"/>
          <w:highlight w:val="none"/>
        </w:rPr>
        <w:t>15. 缺陷责任期与保修</w:t>
      </w:r>
      <w:bookmarkEnd w:id="369"/>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bookmarkEnd w:id="370"/>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highlight w:val="none"/>
          <w:u w:val="single"/>
        </w:rPr>
        <w:t>执行通用条款及相关规范、标准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关于是否扣留质量保证金的约定：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highlight w:val="none"/>
          <w:u w:val="single"/>
        </w:rPr>
        <w:t>扣留质量保证金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（1）质量保证金保函，保证金额为：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color w:val="auto"/>
          <w:highlight w:val="none"/>
        </w:rPr>
        <w:t>审计结算确定的总工程款的</w:t>
      </w:r>
      <w:r>
        <w:rPr>
          <w:rFonts w:hint="eastAsia" w:ascii="宋体" w:hAnsi="宋体" w:eastAsia="宋体" w:cs="宋体"/>
          <w:color w:val="auto"/>
          <w:highlight w:val="none"/>
          <w:u w:val="single"/>
        </w:rPr>
        <w:t xml:space="preserve">  3   %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（1）在支付工程进度款时逐次扣留，在此情形下，质量保证金的计算基数不包括预付款的支付、扣回以及价格调整的金额；</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（2）工程竣工结算时一次性扣留质量保证金；</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（3）其他扣留方式: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关于质量保证金的补充约定：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371"/>
    <w:bookmarkEnd w:id="372"/>
    <w:p>
      <w:pPr>
        <w:pStyle w:val="2"/>
        <w:shd w:val="clear" w:fill="FFFFFF" w:themeFill="background1"/>
        <w:rPr>
          <w:rFonts w:hint="eastAsia" w:ascii="宋体" w:hAnsi="宋体" w:eastAsia="宋体" w:cs="宋体"/>
          <w:color w:val="auto"/>
          <w:highlight w:val="none"/>
        </w:rPr>
      </w:pPr>
      <w:bookmarkStart w:id="373" w:name="_Toc351203649"/>
      <w:r>
        <w:rPr>
          <w:rFonts w:hint="eastAsia" w:ascii="宋体" w:hAnsi="宋体" w:eastAsia="宋体" w:cs="宋体"/>
          <w:color w:val="auto"/>
          <w:highlight w:val="none"/>
        </w:rPr>
        <w:t>15.4 保修</w:t>
      </w:r>
    </w:p>
    <w:p>
      <w:pPr>
        <w:pStyle w:val="2"/>
        <w:shd w:val="clear" w:fill="FFFFFF" w:themeFill="background1"/>
        <w:rPr>
          <w:rFonts w:hint="eastAsia" w:ascii="宋体" w:hAnsi="宋体" w:eastAsia="宋体" w:cs="宋体"/>
          <w:color w:val="auto"/>
          <w:highlight w:val="none"/>
          <w:u w:val="single"/>
        </w:rPr>
      </w:pPr>
      <w:r>
        <w:rPr>
          <w:rFonts w:hint="eastAsia" w:ascii="宋体" w:hAnsi="宋体" w:eastAsia="宋体" w:cs="宋体"/>
          <w:color w:val="auto"/>
          <w:highlight w:val="none"/>
        </w:rPr>
        <w:t>15.4.1保修责任：</w:t>
      </w:r>
      <w:r>
        <w:rPr>
          <w:rFonts w:hint="eastAsia" w:ascii="宋体" w:hAnsi="宋体" w:eastAsia="宋体" w:cs="宋体"/>
          <w:color w:val="auto"/>
          <w:kern w:val="2"/>
          <w:highlight w:val="none"/>
          <w:u w:val="single"/>
        </w:rPr>
        <w:t xml:space="preserve">工程保修期为：地基基础工程和主体结构工程为设计规定的该工程合理使用年限；屋面防水工程、有防水要求的卫生间、房间和外墙面的防渗漏为 5 年；装修工程为 2 年；电气管道、给排水管道、设备安装工程为 2 年；其他工程为 2 </w:t>
      </w:r>
      <w:r>
        <w:rPr>
          <w:rFonts w:hint="eastAsia" w:ascii="宋体" w:hAnsi="宋体" w:eastAsia="宋体" w:cs="宋体"/>
          <w:color w:val="auto"/>
          <w:highlight w:val="none"/>
          <w:u w:val="single"/>
        </w:rPr>
        <w:t>年。</w:t>
      </w:r>
    </w:p>
    <w:p>
      <w:pPr>
        <w:pStyle w:val="2"/>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15.4.2修复通知</w:t>
      </w:r>
    </w:p>
    <w:p>
      <w:pPr>
        <w:pStyle w:val="2"/>
        <w:shd w:val="clear" w:fill="FFFFFF" w:themeFill="background1"/>
        <w:rPr>
          <w:rFonts w:hint="eastAsia" w:ascii="宋体" w:hAnsi="宋体" w:eastAsia="宋体" w:cs="宋体"/>
          <w:color w:val="auto"/>
          <w:kern w:val="2"/>
          <w:highlight w:val="none"/>
          <w:u w:val="single"/>
        </w:rPr>
      </w:pPr>
      <w:r>
        <w:rPr>
          <w:rFonts w:hint="eastAsia" w:ascii="宋体" w:hAnsi="宋体" w:eastAsia="宋体" w:cs="宋体"/>
          <w:color w:val="auto"/>
          <w:kern w:val="2"/>
          <w:highlight w:val="none"/>
        </w:rPr>
        <w:t>承包人收到保修通知并到达工程现场的合理时间：</w:t>
      </w:r>
      <w:r>
        <w:rPr>
          <w:rFonts w:hint="eastAsia" w:ascii="宋体" w:hAnsi="宋体" w:eastAsia="宋体" w:cs="宋体"/>
          <w:color w:val="auto"/>
          <w:kern w:val="2"/>
          <w:highlight w:val="none"/>
          <w:u w:val="single"/>
        </w:rPr>
        <w:t xml:space="preserve">  1 日内 。</w:t>
      </w:r>
    </w:p>
    <w:p>
      <w:pPr>
        <w:shd w:val="clear" w:fill="FFFFFF" w:themeFill="background1"/>
        <w:spacing w:line="440" w:lineRule="exact"/>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 不可抗力</w:t>
      </w:r>
      <w:bookmarkEnd w:id="373"/>
      <w:r>
        <w:rPr>
          <w:rFonts w:hint="eastAsia" w:ascii="宋体" w:hAnsi="宋体" w:eastAsia="宋体" w:cs="宋体"/>
          <w:b/>
          <w:color w:val="auto"/>
          <w:sz w:val="24"/>
          <w:szCs w:val="24"/>
          <w:highlight w:val="none"/>
        </w:rPr>
        <w:t xml:space="preserve"> </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除通用合同条款约定的不可抗力事件之外，视为不可抗力的其他情形：</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因不可抗力解除合同</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天内完成款项的支付。</w:t>
      </w:r>
    </w:p>
    <w:p>
      <w:pPr>
        <w:shd w:val="clear" w:fill="FFFFFF" w:themeFill="background1"/>
        <w:spacing w:line="440" w:lineRule="exact"/>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 争议解决</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种方式解决：</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仲裁委员会申请仲裁；</w:t>
      </w:r>
    </w:p>
    <w:p>
      <w:pPr>
        <w:shd w:val="clear" w:fill="FFFFFF" w:themeFill="background1"/>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（2）向项目所在地有管辖权的人民法院起诉。</w:t>
      </w:r>
    </w:p>
    <w:p>
      <w:pPr>
        <w:shd w:val="clear" w:fill="FFFFFF" w:themeFill="background1"/>
        <w:spacing w:line="440" w:lineRule="exact"/>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21补充条款：</w:t>
      </w:r>
    </w:p>
    <w:p>
      <w:pPr>
        <w:shd w:val="clear" w:fill="FFFFFF" w:themeFill="background1"/>
        <w:autoSpaceDE w:val="0"/>
        <w:autoSpaceDN w:val="0"/>
        <w:adjustRightInd w:val="0"/>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 本工程施工期间，违反廉洁纪律规定的，招标人有权终止合同。</w:t>
      </w:r>
    </w:p>
    <w:p>
      <w:pPr>
        <w:shd w:val="clear" w:fill="FFFFFF" w:themeFill="background1"/>
        <w:spacing w:line="440" w:lineRule="exact"/>
        <w:ind w:firstLine="480" w:firstLineChars="200"/>
        <w:outlineLvl w:val="1"/>
        <w:rPr>
          <w:rFonts w:hint="eastAsia" w:ascii="宋体" w:hAnsi="宋体" w:eastAsia="宋体" w:cs="宋体"/>
          <w:color w:val="auto"/>
          <w:kern w:val="0"/>
          <w:sz w:val="24"/>
          <w:szCs w:val="24"/>
          <w:highlight w:val="none"/>
        </w:rPr>
      </w:pPr>
      <w:bookmarkStart w:id="374" w:name="_Toc13705"/>
      <w:r>
        <w:rPr>
          <w:rFonts w:hint="eastAsia" w:ascii="宋体" w:hAnsi="宋体" w:eastAsia="宋体" w:cs="宋体"/>
          <w:color w:val="auto"/>
          <w:kern w:val="0"/>
          <w:sz w:val="24"/>
          <w:szCs w:val="24"/>
          <w:highlight w:val="none"/>
        </w:rPr>
        <w:t>21.2 本项目的项目经理、质量员、安全员等关键岗位人员在施工期间须按照《安徽省住房城乡建设厅关于印发安徽省建筑施工现场关键岗位人员在岗考核和“两场”联动工作方案（试行）的通知》（建质函〔2012〕1151号）的规定纳入“IFA”系统进行管理考核，</w:t>
      </w:r>
      <w:bookmarkEnd w:id="374"/>
    </w:p>
    <w:p>
      <w:pPr>
        <w:shd w:val="clear" w:fill="FFFFFF" w:themeFill="background1"/>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 安全文明施工措施费由发包人根据承包人实施过程中措施落实情况</w:t>
      </w:r>
      <w:r>
        <w:rPr>
          <w:rFonts w:hint="eastAsia" w:ascii="宋体" w:hAnsi="宋体" w:eastAsia="宋体" w:cs="宋体"/>
          <w:b/>
          <w:color w:val="auto"/>
          <w:kern w:val="0"/>
          <w:sz w:val="24"/>
          <w:szCs w:val="24"/>
          <w:highlight w:val="none"/>
        </w:rPr>
        <w:t>随工程进度款同步</w:t>
      </w:r>
      <w:r>
        <w:rPr>
          <w:rFonts w:hint="eastAsia" w:ascii="宋体" w:hAnsi="宋体" w:eastAsia="宋体" w:cs="宋体"/>
          <w:color w:val="auto"/>
          <w:kern w:val="0"/>
          <w:sz w:val="24"/>
          <w:szCs w:val="24"/>
          <w:highlight w:val="none"/>
        </w:rPr>
        <w:t>据实支付。经省、市建设部门认定为安全生产不合格或安全文明施工措施不到位的项目，应从工程款中扣减“安全文明施工措施费”,且质量须符合质量要求。</w:t>
      </w:r>
    </w:p>
    <w:p>
      <w:pPr>
        <w:shd w:val="clear" w:fill="FFFFFF" w:themeFill="background1"/>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kern w:val="0"/>
          <w:sz w:val="24"/>
          <w:szCs w:val="24"/>
          <w:highlight w:val="none"/>
        </w:rPr>
        <w:t>21.3</w:t>
      </w:r>
      <w:r>
        <w:rPr>
          <w:rFonts w:hint="eastAsia" w:ascii="宋体" w:hAnsi="宋体" w:eastAsia="宋体" w:cs="宋体"/>
          <w:color w:val="auto"/>
          <w:sz w:val="24"/>
          <w:szCs w:val="24"/>
          <w:highlight w:val="none"/>
        </w:rPr>
        <w:t>需要补充的其他内容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sz w:val="24"/>
          <w:highlight w:val="none"/>
          <w:u w:val="single"/>
        </w:rPr>
        <w:t>石材墙面（陶瓷薄板一体板，含保温材料、配件等）必须进行深化设计，由施工单位自行设计，需原设计单位认可，费用包含在投标总价内，中标后不予调整。透空围墙东至城泉路西侧实体围墙、西至现有西侧透空围墙（西侧南段实体围墙拆除、清运工作由施工单位负责，费用含在投标总价中）。</w:t>
      </w:r>
    </w:p>
    <w:p>
      <w:pPr>
        <w:pStyle w:val="15"/>
        <w:shd w:val="clear" w:fill="FFFFFF" w:themeFill="background1"/>
        <w:spacing w:before="156" w:beforeLines="50" w:beforeAutospacing="0" w:after="156" w:afterLines="50" w:line="640" w:lineRule="atLeast"/>
        <w:ind w:right="204"/>
        <w:jc w:val="center"/>
        <w:rPr>
          <w:rFonts w:hint="eastAsia" w:ascii="宋体" w:hAnsi="宋体" w:eastAsia="宋体" w:cs="宋体"/>
          <w:b/>
          <w:bCs/>
          <w:color w:val="auto"/>
          <w:sz w:val="33"/>
          <w:szCs w:val="21"/>
          <w:highlight w:val="none"/>
        </w:rPr>
      </w:pPr>
      <w:r>
        <w:rPr>
          <w:rFonts w:hint="eastAsia" w:ascii="宋体" w:hAnsi="宋体" w:eastAsia="宋体" w:cs="宋体"/>
          <w:b/>
          <w:bCs/>
          <w:color w:val="auto"/>
          <w:sz w:val="33"/>
          <w:szCs w:val="21"/>
          <w:highlight w:val="none"/>
        </w:rPr>
        <w:t>施工材料相当于品牌列表</w:t>
      </w:r>
    </w:p>
    <w:tbl>
      <w:tblPr>
        <w:tblStyle w:val="31"/>
        <w:tblW w:w="9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2625"/>
        <w:gridCol w:w="1519"/>
        <w:gridCol w:w="1667"/>
        <w:gridCol w:w="757"/>
        <w:gridCol w:w="12"/>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686"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材料名称</w:t>
            </w:r>
          </w:p>
        </w:tc>
        <w:tc>
          <w:tcPr>
            <w:tcW w:w="2625"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生产厂家（或产地）</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1667" w:type="dxa"/>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规格及型号</w:t>
            </w:r>
          </w:p>
        </w:tc>
        <w:tc>
          <w:tcPr>
            <w:tcW w:w="757" w:type="dxa"/>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其它</w:t>
            </w:r>
          </w:p>
        </w:tc>
        <w:tc>
          <w:tcPr>
            <w:tcW w:w="1006" w:type="dxa"/>
            <w:gridSpan w:val="2"/>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686"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水泥</w:t>
            </w: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巢湖水泥厂</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巢湖</w:t>
            </w:r>
          </w:p>
        </w:tc>
        <w:tc>
          <w:tcPr>
            <w:tcW w:w="1667"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详见图纸</w:t>
            </w:r>
          </w:p>
        </w:tc>
        <w:tc>
          <w:tcPr>
            <w:tcW w:w="757"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1006" w:type="dxa"/>
            <w:gridSpan w:val="2"/>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徐州巨龙</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巨龙</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57" w:type="dxa"/>
            <w:vMerge w:val="continue"/>
            <w:vAlign w:val="center"/>
          </w:tcPr>
          <w:p>
            <w:pPr>
              <w:shd w:val="clear" w:fill="FFFFFF" w:themeFill="background1"/>
              <w:rPr>
                <w:rFonts w:hint="eastAsia" w:ascii="宋体" w:hAnsi="宋体" w:eastAsia="宋体" w:cs="宋体"/>
                <w:color w:val="auto"/>
                <w:szCs w:val="24"/>
                <w:highlight w:val="none"/>
              </w:rPr>
            </w:pPr>
          </w:p>
        </w:tc>
        <w:tc>
          <w:tcPr>
            <w:tcW w:w="1006" w:type="dxa"/>
            <w:gridSpan w:val="2"/>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淮南矿务局八公山</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八公山</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57" w:type="dxa"/>
            <w:vMerge w:val="continue"/>
            <w:vAlign w:val="center"/>
          </w:tcPr>
          <w:p>
            <w:pPr>
              <w:shd w:val="clear" w:fill="FFFFFF" w:themeFill="background1"/>
              <w:rPr>
                <w:rFonts w:hint="eastAsia" w:ascii="宋体" w:hAnsi="宋体" w:eastAsia="宋体" w:cs="宋体"/>
                <w:color w:val="auto"/>
                <w:szCs w:val="24"/>
                <w:highlight w:val="none"/>
              </w:rPr>
            </w:pPr>
          </w:p>
        </w:tc>
        <w:tc>
          <w:tcPr>
            <w:tcW w:w="1006" w:type="dxa"/>
            <w:gridSpan w:val="2"/>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芜湖海螺水泥厂</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海螺</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57" w:type="dxa"/>
            <w:vMerge w:val="continue"/>
            <w:vAlign w:val="center"/>
          </w:tcPr>
          <w:p>
            <w:pPr>
              <w:shd w:val="clear" w:fill="FFFFFF" w:themeFill="background1"/>
              <w:rPr>
                <w:rFonts w:hint="eastAsia" w:ascii="宋体" w:hAnsi="宋体" w:eastAsia="宋体" w:cs="宋体"/>
                <w:color w:val="auto"/>
                <w:szCs w:val="24"/>
                <w:highlight w:val="none"/>
              </w:rPr>
            </w:pPr>
          </w:p>
        </w:tc>
        <w:tc>
          <w:tcPr>
            <w:tcW w:w="1006" w:type="dxa"/>
            <w:gridSpan w:val="2"/>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5" w:hRule="atLeast"/>
          <w:jc w:val="center"/>
        </w:trPr>
        <w:tc>
          <w:tcPr>
            <w:tcW w:w="1686"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钢材</w:t>
            </w: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马鞍山</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马钢</w:t>
            </w:r>
          </w:p>
        </w:tc>
        <w:tc>
          <w:tcPr>
            <w:tcW w:w="1667"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详见图纸</w:t>
            </w:r>
          </w:p>
        </w:tc>
        <w:tc>
          <w:tcPr>
            <w:tcW w:w="757"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1006" w:type="dxa"/>
            <w:gridSpan w:val="2"/>
            <w:vMerge w:val="restart"/>
            <w:vAlign w:val="center"/>
          </w:tcPr>
          <w:p>
            <w:pPr>
              <w:pStyle w:val="15"/>
              <w:shd w:val="clear" w:fill="FFFFFF" w:themeFill="background1"/>
              <w:jc w:val="center"/>
              <w:rPr>
                <w:rFonts w:hint="eastAsia" w:ascii="宋体" w:hAnsi="宋体" w:eastAsia="宋体" w:cs="宋体"/>
                <w:color w:val="auto"/>
                <w:highlight w:val="none"/>
              </w:rPr>
            </w:pPr>
          </w:p>
          <w:p>
            <w:pPr>
              <w:pStyle w:val="15"/>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安阳</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安钢</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57" w:type="dxa"/>
            <w:vMerge w:val="continue"/>
            <w:vAlign w:val="center"/>
          </w:tcPr>
          <w:p>
            <w:pPr>
              <w:shd w:val="clear" w:fill="FFFFFF" w:themeFill="background1"/>
              <w:rPr>
                <w:rFonts w:hint="eastAsia" w:ascii="宋体" w:hAnsi="宋体" w:eastAsia="宋体" w:cs="宋体"/>
                <w:color w:val="auto"/>
                <w:szCs w:val="24"/>
                <w:highlight w:val="none"/>
              </w:rPr>
            </w:pPr>
          </w:p>
        </w:tc>
        <w:tc>
          <w:tcPr>
            <w:tcW w:w="1006" w:type="dxa"/>
            <w:gridSpan w:val="2"/>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济源</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济钢</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57" w:type="dxa"/>
            <w:vMerge w:val="continue"/>
            <w:vAlign w:val="center"/>
          </w:tcPr>
          <w:p>
            <w:pPr>
              <w:shd w:val="clear" w:fill="FFFFFF" w:themeFill="background1"/>
              <w:rPr>
                <w:rFonts w:hint="eastAsia" w:ascii="宋体" w:hAnsi="宋体" w:eastAsia="宋体" w:cs="宋体"/>
                <w:color w:val="auto"/>
                <w:szCs w:val="24"/>
                <w:highlight w:val="none"/>
              </w:rPr>
            </w:pPr>
          </w:p>
        </w:tc>
        <w:tc>
          <w:tcPr>
            <w:tcW w:w="1006" w:type="dxa"/>
            <w:gridSpan w:val="2"/>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信阳</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信钢</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57" w:type="dxa"/>
            <w:vMerge w:val="continue"/>
            <w:vAlign w:val="center"/>
          </w:tcPr>
          <w:p>
            <w:pPr>
              <w:shd w:val="clear" w:fill="FFFFFF" w:themeFill="background1"/>
              <w:rPr>
                <w:rFonts w:hint="eastAsia" w:ascii="宋体" w:hAnsi="宋体" w:eastAsia="宋体" w:cs="宋体"/>
                <w:color w:val="auto"/>
                <w:szCs w:val="24"/>
                <w:highlight w:val="none"/>
              </w:rPr>
            </w:pPr>
          </w:p>
        </w:tc>
        <w:tc>
          <w:tcPr>
            <w:tcW w:w="1006" w:type="dxa"/>
            <w:gridSpan w:val="2"/>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邯郸</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邯钢</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57" w:type="dxa"/>
            <w:vMerge w:val="continue"/>
            <w:vAlign w:val="center"/>
          </w:tcPr>
          <w:p>
            <w:pPr>
              <w:shd w:val="clear" w:fill="FFFFFF" w:themeFill="background1"/>
              <w:rPr>
                <w:rFonts w:hint="eastAsia" w:ascii="宋体" w:hAnsi="宋体" w:eastAsia="宋体" w:cs="宋体"/>
                <w:color w:val="auto"/>
                <w:szCs w:val="24"/>
                <w:highlight w:val="none"/>
              </w:rPr>
            </w:pPr>
          </w:p>
        </w:tc>
        <w:tc>
          <w:tcPr>
            <w:tcW w:w="1006" w:type="dxa"/>
            <w:gridSpan w:val="2"/>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686"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地板砖</w:t>
            </w: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广东</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新中源</w:t>
            </w:r>
          </w:p>
        </w:tc>
        <w:tc>
          <w:tcPr>
            <w:tcW w:w="1667"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详见图纸</w:t>
            </w:r>
          </w:p>
        </w:tc>
        <w:tc>
          <w:tcPr>
            <w:tcW w:w="757"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1006" w:type="dxa"/>
            <w:gridSpan w:val="2"/>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9"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广东佛山展鹏陶瓷</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展鹏</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57" w:type="dxa"/>
            <w:vMerge w:val="continue"/>
            <w:vAlign w:val="center"/>
          </w:tcPr>
          <w:p>
            <w:pPr>
              <w:shd w:val="clear" w:fill="FFFFFF" w:themeFill="background1"/>
              <w:rPr>
                <w:rFonts w:hint="eastAsia" w:ascii="宋体" w:hAnsi="宋体" w:eastAsia="宋体" w:cs="宋体"/>
                <w:color w:val="auto"/>
                <w:szCs w:val="24"/>
                <w:highlight w:val="none"/>
              </w:rPr>
            </w:pPr>
          </w:p>
        </w:tc>
        <w:tc>
          <w:tcPr>
            <w:tcW w:w="1006" w:type="dxa"/>
            <w:gridSpan w:val="2"/>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广东</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阿波罗</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57" w:type="dxa"/>
            <w:vMerge w:val="continue"/>
            <w:vAlign w:val="center"/>
          </w:tcPr>
          <w:p>
            <w:pPr>
              <w:shd w:val="clear" w:fill="FFFFFF" w:themeFill="background1"/>
              <w:rPr>
                <w:rFonts w:hint="eastAsia" w:ascii="宋体" w:hAnsi="宋体" w:eastAsia="宋体" w:cs="宋体"/>
                <w:color w:val="auto"/>
                <w:szCs w:val="24"/>
                <w:highlight w:val="none"/>
              </w:rPr>
            </w:pPr>
          </w:p>
        </w:tc>
        <w:tc>
          <w:tcPr>
            <w:tcW w:w="1006" w:type="dxa"/>
            <w:gridSpan w:val="2"/>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广东</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东鹏</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57" w:type="dxa"/>
            <w:vMerge w:val="continue"/>
            <w:vAlign w:val="center"/>
          </w:tcPr>
          <w:p>
            <w:pPr>
              <w:shd w:val="clear" w:fill="FFFFFF" w:themeFill="background1"/>
              <w:rPr>
                <w:rFonts w:hint="eastAsia" w:ascii="宋体" w:hAnsi="宋体" w:eastAsia="宋体" w:cs="宋体"/>
                <w:color w:val="auto"/>
                <w:szCs w:val="24"/>
                <w:highlight w:val="none"/>
              </w:rPr>
            </w:pPr>
          </w:p>
        </w:tc>
        <w:tc>
          <w:tcPr>
            <w:tcW w:w="1006" w:type="dxa"/>
            <w:gridSpan w:val="2"/>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686"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内墙砖</w:t>
            </w: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广东</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阿波罗</w:t>
            </w:r>
          </w:p>
        </w:tc>
        <w:tc>
          <w:tcPr>
            <w:tcW w:w="1667"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详见图纸</w:t>
            </w:r>
          </w:p>
        </w:tc>
        <w:tc>
          <w:tcPr>
            <w:tcW w:w="757"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1006" w:type="dxa"/>
            <w:gridSpan w:val="2"/>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广东佛山新粤陶瓷有限公司</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新粤</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57" w:type="dxa"/>
            <w:vMerge w:val="continue"/>
            <w:vAlign w:val="center"/>
          </w:tcPr>
          <w:p>
            <w:pPr>
              <w:shd w:val="clear" w:fill="FFFFFF" w:themeFill="background1"/>
              <w:rPr>
                <w:rFonts w:hint="eastAsia" w:ascii="宋体" w:hAnsi="宋体" w:eastAsia="宋体" w:cs="宋体"/>
                <w:color w:val="auto"/>
                <w:szCs w:val="24"/>
                <w:highlight w:val="none"/>
              </w:rPr>
            </w:pPr>
          </w:p>
        </w:tc>
        <w:tc>
          <w:tcPr>
            <w:tcW w:w="1006" w:type="dxa"/>
            <w:gridSpan w:val="2"/>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广东佛山</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粤中原</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57" w:type="dxa"/>
            <w:vMerge w:val="continue"/>
            <w:vAlign w:val="center"/>
          </w:tcPr>
          <w:p>
            <w:pPr>
              <w:shd w:val="clear" w:fill="FFFFFF" w:themeFill="background1"/>
              <w:rPr>
                <w:rFonts w:hint="eastAsia" w:ascii="宋体" w:hAnsi="宋体" w:eastAsia="宋体" w:cs="宋体"/>
                <w:color w:val="auto"/>
                <w:szCs w:val="24"/>
                <w:highlight w:val="none"/>
              </w:rPr>
            </w:pPr>
          </w:p>
        </w:tc>
        <w:tc>
          <w:tcPr>
            <w:tcW w:w="1006" w:type="dxa"/>
            <w:gridSpan w:val="2"/>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5" w:hRule="atLeast"/>
          <w:jc w:val="center"/>
        </w:trPr>
        <w:tc>
          <w:tcPr>
            <w:tcW w:w="1686" w:type="dxa"/>
            <w:vMerge w:val="restart"/>
            <w:vAlign w:val="center"/>
          </w:tcPr>
          <w:p>
            <w:pPr>
              <w:shd w:val="clear" w:fill="FFFFFF" w:themeFill="background1"/>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铝合金门窗</w:t>
            </w: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广东</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凤铝</w:t>
            </w:r>
          </w:p>
        </w:tc>
        <w:tc>
          <w:tcPr>
            <w:tcW w:w="1667" w:type="dxa"/>
            <w:vMerge w:val="restart"/>
            <w:vAlign w:val="center"/>
          </w:tcPr>
          <w:p>
            <w:pPr>
              <w:shd w:val="clear" w:fill="FFFFFF" w:themeFill="background1"/>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详见图纸</w:t>
            </w:r>
          </w:p>
        </w:tc>
        <w:tc>
          <w:tcPr>
            <w:tcW w:w="757" w:type="dxa"/>
            <w:vMerge w:val="restart"/>
            <w:vAlign w:val="center"/>
          </w:tcPr>
          <w:p>
            <w:pPr>
              <w:shd w:val="clear" w:fill="FFFFFF" w:themeFill="background1"/>
              <w:rPr>
                <w:rFonts w:hint="eastAsia" w:ascii="宋体" w:hAnsi="宋体" w:eastAsia="宋体" w:cs="宋体"/>
                <w:color w:val="auto"/>
                <w:szCs w:val="24"/>
                <w:highlight w:val="none"/>
              </w:rPr>
            </w:pPr>
          </w:p>
        </w:tc>
        <w:tc>
          <w:tcPr>
            <w:tcW w:w="1006" w:type="dxa"/>
            <w:gridSpan w:val="2"/>
            <w:vMerge w:val="restart"/>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686" w:type="dxa"/>
            <w:vMerge w:val="continue"/>
            <w:vAlign w:val="center"/>
          </w:tcPr>
          <w:p>
            <w:pPr>
              <w:shd w:val="clear" w:fill="FFFFFF" w:themeFill="background1"/>
              <w:jc w:val="center"/>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广东</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兴发</w:t>
            </w:r>
          </w:p>
        </w:tc>
        <w:tc>
          <w:tcPr>
            <w:tcW w:w="1667" w:type="dxa"/>
            <w:vMerge w:val="continue"/>
            <w:vAlign w:val="center"/>
          </w:tcPr>
          <w:p>
            <w:pPr>
              <w:shd w:val="clear" w:fill="FFFFFF" w:themeFill="background1"/>
              <w:jc w:val="center"/>
              <w:rPr>
                <w:rFonts w:hint="eastAsia" w:ascii="宋体" w:hAnsi="宋体" w:eastAsia="宋体" w:cs="宋体"/>
                <w:color w:val="auto"/>
                <w:szCs w:val="24"/>
                <w:highlight w:val="none"/>
              </w:rPr>
            </w:pPr>
          </w:p>
        </w:tc>
        <w:tc>
          <w:tcPr>
            <w:tcW w:w="757" w:type="dxa"/>
            <w:vMerge w:val="continue"/>
            <w:vAlign w:val="center"/>
          </w:tcPr>
          <w:p>
            <w:pPr>
              <w:shd w:val="clear" w:fill="FFFFFF" w:themeFill="background1"/>
              <w:rPr>
                <w:rFonts w:hint="eastAsia" w:ascii="宋体" w:hAnsi="宋体" w:eastAsia="宋体" w:cs="宋体"/>
                <w:color w:val="auto"/>
                <w:szCs w:val="24"/>
                <w:highlight w:val="none"/>
              </w:rPr>
            </w:pPr>
          </w:p>
        </w:tc>
        <w:tc>
          <w:tcPr>
            <w:tcW w:w="1006" w:type="dxa"/>
            <w:gridSpan w:val="2"/>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686" w:type="dxa"/>
            <w:vMerge w:val="continue"/>
            <w:vAlign w:val="center"/>
          </w:tcPr>
          <w:p>
            <w:pPr>
              <w:shd w:val="clear" w:fill="FFFFFF" w:themeFill="background1"/>
              <w:jc w:val="center"/>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北京</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美驰</w:t>
            </w:r>
          </w:p>
        </w:tc>
        <w:tc>
          <w:tcPr>
            <w:tcW w:w="1667" w:type="dxa"/>
            <w:vMerge w:val="continue"/>
            <w:vAlign w:val="center"/>
          </w:tcPr>
          <w:p>
            <w:pPr>
              <w:shd w:val="clear" w:fill="FFFFFF" w:themeFill="background1"/>
              <w:jc w:val="center"/>
              <w:rPr>
                <w:rFonts w:hint="eastAsia" w:ascii="宋体" w:hAnsi="宋体" w:eastAsia="宋体" w:cs="宋体"/>
                <w:color w:val="auto"/>
                <w:szCs w:val="24"/>
                <w:highlight w:val="none"/>
              </w:rPr>
            </w:pPr>
          </w:p>
        </w:tc>
        <w:tc>
          <w:tcPr>
            <w:tcW w:w="757" w:type="dxa"/>
            <w:vMerge w:val="continue"/>
            <w:vAlign w:val="center"/>
          </w:tcPr>
          <w:p>
            <w:pPr>
              <w:shd w:val="clear" w:fill="FFFFFF" w:themeFill="background1"/>
              <w:rPr>
                <w:rFonts w:hint="eastAsia" w:ascii="宋体" w:hAnsi="宋体" w:eastAsia="宋体" w:cs="宋体"/>
                <w:color w:val="auto"/>
                <w:szCs w:val="24"/>
                <w:highlight w:val="none"/>
              </w:rPr>
            </w:pPr>
          </w:p>
        </w:tc>
        <w:tc>
          <w:tcPr>
            <w:tcW w:w="1006" w:type="dxa"/>
            <w:gridSpan w:val="2"/>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686" w:type="dxa"/>
            <w:vMerge w:val="continue"/>
            <w:vAlign w:val="center"/>
          </w:tcPr>
          <w:p>
            <w:pPr>
              <w:shd w:val="clear" w:fill="FFFFFF" w:themeFill="background1"/>
              <w:jc w:val="center"/>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浙江</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栋梁</w:t>
            </w:r>
          </w:p>
        </w:tc>
        <w:tc>
          <w:tcPr>
            <w:tcW w:w="1667" w:type="dxa"/>
            <w:vMerge w:val="continue"/>
            <w:vAlign w:val="center"/>
          </w:tcPr>
          <w:p>
            <w:pPr>
              <w:shd w:val="clear" w:fill="FFFFFF" w:themeFill="background1"/>
              <w:jc w:val="center"/>
              <w:rPr>
                <w:rFonts w:hint="eastAsia" w:ascii="宋体" w:hAnsi="宋体" w:eastAsia="宋体" w:cs="宋体"/>
                <w:color w:val="auto"/>
                <w:szCs w:val="24"/>
                <w:highlight w:val="none"/>
              </w:rPr>
            </w:pPr>
          </w:p>
        </w:tc>
        <w:tc>
          <w:tcPr>
            <w:tcW w:w="757" w:type="dxa"/>
            <w:vMerge w:val="continue"/>
            <w:vAlign w:val="center"/>
          </w:tcPr>
          <w:p>
            <w:pPr>
              <w:shd w:val="clear" w:fill="FFFFFF" w:themeFill="background1"/>
              <w:rPr>
                <w:rFonts w:hint="eastAsia" w:ascii="宋体" w:hAnsi="宋体" w:eastAsia="宋体" w:cs="宋体"/>
                <w:color w:val="auto"/>
                <w:szCs w:val="24"/>
                <w:highlight w:val="none"/>
              </w:rPr>
            </w:pPr>
          </w:p>
        </w:tc>
        <w:tc>
          <w:tcPr>
            <w:tcW w:w="1006" w:type="dxa"/>
            <w:gridSpan w:val="2"/>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686" w:type="dxa"/>
            <w:vMerge w:val="restart"/>
            <w:vAlign w:val="center"/>
          </w:tcPr>
          <w:p>
            <w:pPr>
              <w:shd w:val="clear" w:fill="FFFFFF" w:themeFill="background1"/>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防盗门</w:t>
            </w: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上海嘉定</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王力</w:t>
            </w:r>
          </w:p>
        </w:tc>
        <w:tc>
          <w:tcPr>
            <w:tcW w:w="1667" w:type="dxa"/>
            <w:vMerge w:val="restart"/>
            <w:vAlign w:val="center"/>
          </w:tcPr>
          <w:p>
            <w:pPr>
              <w:shd w:val="clear" w:fill="FFFFFF" w:themeFill="background1"/>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详见图纸</w:t>
            </w:r>
          </w:p>
        </w:tc>
        <w:tc>
          <w:tcPr>
            <w:tcW w:w="757" w:type="dxa"/>
            <w:vMerge w:val="restart"/>
            <w:vAlign w:val="center"/>
          </w:tcPr>
          <w:p>
            <w:pPr>
              <w:shd w:val="clear" w:fill="FFFFFF" w:themeFill="background1"/>
              <w:rPr>
                <w:rFonts w:hint="eastAsia" w:ascii="宋体" w:hAnsi="宋体" w:eastAsia="宋体" w:cs="宋体"/>
                <w:color w:val="auto"/>
                <w:szCs w:val="24"/>
                <w:highlight w:val="none"/>
              </w:rPr>
            </w:pPr>
          </w:p>
        </w:tc>
        <w:tc>
          <w:tcPr>
            <w:tcW w:w="1006" w:type="dxa"/>
            <w:gridSpan w:val="2"/>
            <w:vMerge w:val="restart"/>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686" w:type="dxa"/>
            <w:vMerge w:val="continue"/>
            <w:vAlign w:val="center"/>
          </w:tcPr>
          <w:p>
            <w:pPr>
              <w:shd w:val="clear" w:fill="FFFFFF" w:themeFill="background1"/>
              <w:jc w:val="center"/>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辽宁营口</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盼盼</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57" w:type="dxa"/>
            <w:vMerge w:val="continue"/>
            <w:vAlign w:val="center"/>
          </w:tcPr>
          <w:p>
            <w:pPr>
              <w:shd w:val="clear" w:fill="FFFFFF" w:themeFill="background1"/>
              <w:rPr>
                <w:rFonts w:hint="eastAsia" w:ascii="宋体" w:hAnsi="宋体" w:eastAsia="宋体" w:cs="宋体"/>
                <w:color w:val="auto"/>
                <w:szCs w:val="24"/>
                <w:highlight w:val="none"/>
              </w:rPr>
            </w:pPr>
          </w:p>
        </w:tc>
        <w:tc>
          <w:tcPr>
            <w:tcW w:w="1006" w:type="dxa"/>
            <w:gridSpan w:val="2"/>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5" w:hRule="atLeast"/>
          <w:jc w:val="center"/>
        </w:trPr>
        <w:tc>
          <w:tcPr>
            <w:tcW w:w="1686" w:type="dxa"/>
            <w:vMerge w:val="continue"/>
            <w:vAlign w:val="center"/>
          </w:tcPr>
          <w:p>
            <w:pPr>
              <w:shd w:val="clear" w:fill="FFFFFF" w:themeFill="background1"/>
              <w:jc w:val="center"/>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浙江</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春天</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57" w:type="dxa"/>
            <w:vMerge w:val="continue"/>
            <w:vAlign w:val="center"/>
          </w:tcPr>
          <w:p>
            <w:pPr>
              <w:shd w:val="clear" w:fill="FFFFFF" w:themeFill="background1"/>
              <w:rPr>
                <w:rFonts w:hint="eastAsia" w:ascii="宋体" w:hAnsi="宋体" w:eastAsia="宋体" w:cs="宋体"/>
                <w:color w:val="auto"/>
                <w:szCs w:val="24"/>
                <w:highlight w:val="none"/>
              </w:rPr>
            </w:pPr>
          </w:p>
        </w:tc>
        <w:tc>
          <w:tcPr>
            <w:tcW w:w="1006" w:type="dxa"/>
            <w:gridSpan w:val="2"/>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686" w:type="dxa"/>
            <w:vMerge w:val="continue"/>
            <w:vAlign w:val="center"/>
          </w:tcPr>
          <w:p>
            <w:pPr>
              <w:shd w:val="clear" w:fill="FFFFFF" w:themeFill="background1"/>
              <w:jc w:val="center"/>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浙江永康</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群升</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57" w:type="dxa"/>
            <w:vMerge w:val="continue"/>
            <w:vAlign w:val="center"/>
          </w:tcPr>
          <w:p>
            <w:pPr>
              <w:shd w:val="clear" w:fill="FFFFFF" w:themeFill="background1"/>
              <w:rPr>
                <w:rFonts w:hint="eastAsia" w:ascii="宋体" w:hAnsi="宋体" w:eastAsia="宋体" w:cs="宋体"/>
                <w:color w:val="auto"/>
                <w:szCs w:val="24"/>
                <w:highlight w:val="none"/>
              </w:rPr>
            </w:pPr>
          </w:p>
        </w:tc>
        <w:tc>
          <w:tcPr>
            <w:tcW w:w="1006" w:type="dxa"/>
            <w:gridSpan w:val="2"/>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686" w:type="dxa"/>
            <w:vMerge w:val="restart"/>
            <w:vAlign w:val="center"/>
          </w:tcPr>
          <w:p>
            <w:pPr>
              <w:shd w:val="clear" w:fill="FFFFFF" w:themeFill="background1"/>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塑钢窗</w:t>
            </w: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安徽</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国风</w:t>
            </w:r>
          </w:p>
        </w:tc>
        <w:tc>
          <w:tcPr>
            <w:tcW w:w="1667" w:type="dxa"/>
            <w:vMerge w:val="restart"/>
            <w:vAlign w:val="center"/>
          </w:tcPr>
          <w:p>
            <w:pPr>
              <w:shd w:val="clear" w:fill="FFFFFF" w:themeFill="background1"/>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详见图纸</w:t>
            </w:r>
          </w:p>
        </w:tc>
        <w:tc>
          <w:tcPr>
            <w:tcW w:w="757" w:type="dxa"/>
            <w:vMerge w:val="restart"/>
            <w:vAlign w:val="center"/>
          </w:tcPr>
          <w:p>
            <w:pPr>
              <w:shd w:val="clear" w:fill="FFFFFF" w:themeFill="background1"/>
              <w:rPr>
                <w:rFonts w:hint="eastAsia" w:ascii="宋体" w:hAnsi="宋体" w:eastAsia="宋体" w:cs="宋体"/>
                <w:color w:val="auto"/>
                <w:szCs w:val="24"/>
                <w:highlight w:val="none"/>
              </w:rPr>
            </w:pPr>
          </w:p>
        </w:tc>
        <w:tc>
          <w:tcPr>
            <w:tcW w:w="1006" w:type="dxa"/>
            <w:gridSpan w:val="2"/>
            <w:vMerge w:val="restart"/>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浙江</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中财</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57" w:type="dxa"/>
            <w:vMerge w:val="continue"/>
            <w:vAlign w:val="center"/>
          </w:tcPr>
          <w:p>
            <w:pPr>
              <w:shd w:val="clear" w:fill="FFFFFF" w:themeFill="background1"/>
              <w:rPr>
                <w:rFonts w:hint="eastAsia" w:ascii="宋体" w:hAnsi="宋体" w:eastAsia="宋体" w:cs="宋体"/>
                <w:color w:val="auto"/>
                <w:szCs w:val="24"/>
                <w:highlight w:val="none"/>
              </w:rPr>
            </w:pPr>
          </w:p>
        </w:tc>
        <w:tc>
          <w:tcPr>
            <w:tcW w:w="1006" w:type="dxa"/>
            <w:gridSpan w:val="2"/>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安徽</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海螺</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57" w:type="dxa"/>
            <w:vMerge w:val="continue"/>
            <w:vAlign w:val="center"/>
          </w:tcPr>
          <w:p>
            <w:pPr>
              <w:shd w:val="clear" w:fill="FFFFFF" w:themeFill="background1"/>
              <w:rPr>
                <w:rFonts w:hint="eastAsia" w:ascii="宋体" w:hAnsi="宋体" w:eastAsia="宋体" w:cs="宋体"/>
                <w:color w:val="auto"/>
                <w:szCs w:val="24"/>
                <w:highlight w:val="none"/>
              </w:rPr>
            </w:pPr>
          </w:p>
        </w:tc>
        <w:tc>
          <w:tcPr>
            <w:tcW w:w="1006" w:type="dxa"/>
            <w:gridSpan w:val="2"/>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686"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卫生洁具</w:t>
            </w: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河南</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洁达</w:t>
            </w:r>
          </w:p>
        </w:tc>
        <w:tc>
          <w:tcPr>
            <w:tcW w:w="1667"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详见图纸</w:t>
            </w:r>
          </w:p>
        </w:tc>
        <w:tc>
          <w:tcPr>
            <w:tcW w:w="769" w:type="dxa"/>
            <w:gridSpan w:val="2"/>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994"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 </w:t>
            </w:r>
          </w:p>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4"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广东恒洁卫浴</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恒洁</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69" w:type="dxa"/>
            <w:gridSpan w:val="2"/>
            <w:vMerge w:val="continue"/>
            <w:vAlign w:val="center"/>
          </w:tcPr>
          <w:p>
            <w:pPr>
              <w:shd w:val="clear" w:fill="FFFFFF" w:themeFill="background1"/>
              <w:rPr>
                <w:rFonts w:hint="eastAsia" w:ascii="宋体" w:hAnsi="宋体" w:eastAsia="宋体" w:cs="宋体"/>
                <w:color w:val="auto"/>
                <w:szCs w:val="24"/>
                <w:highlight w:val="none"/>
              </w:rPr>
            </w:pPr>
          </w:p>
        </w:tc>
        <w:tc>
          <w:tcPr>
            <w:tcW w:w="994" w:type="dxa"/>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广东金牌金牌卫浴</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金牌</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69" w:type="dxa"/>
            <w:gridSpan w:val="2"/>
            <w:vMerge w:val="continue"/>
            <w:vAlign w:val="center"/>
          </w:tcPr>
          <w:p>
            <w:pPr>
              <w:shd w:val="clear" w:fill="FFFFFF" w:themeFill="background1"/>
              <w:rPr>
                <w:rFonts w:hint="eastAsia" w:ascii="宋体" w:hAnsi="宋体" w:eastAsia="宋体" w:cs="宋体"/>
                <w:color w:val="auto"/>
                <w:szCs w:val="24"/>
                <w:highlight w:val="none"/>
              </w:rPr>
            </w:pPr>
          </w:p>
        </w:tc>
        <w:tc>
          <w:tcPr>
            <w:tcW w:w="994" w:type="dxa"/>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河北唐山惠达陶瓷（集团）股份有限公司</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惠达</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69" w:type="dxa"/>
            <w:gridSpan w:val="2"/>
            <w:vMerge w:val="continue"/>
            <w:vAlign w:val="center"/>
          </w:tcPr>
          <w:p>
            <w:pPr>
              <w:shd w:val="clear" w:fill="FFFFFF" w:themeFill="background1"/>
              <w:rPr>
                <w:rFonts w:hint="eastAsia" w:ascii="宋体" w:hAnsi="宋体" w:eastAsia="宋体" w:cs="宋体"/>
                <w:color w:val="auto"/>
                <w:szCs w:val="24"/>
                <w:highlight w:val="none"/>
              </w:rPr>
            </w:pPr>
          </w:p>
        </w:tc>
        <w:tc>
          <w:tcPr>
            <w:tcW w:w="994" w:type="dxa"/>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1686"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阀门、球阀、</w:t>
            </w:r>
          </w:p>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闸阀</w:t>
            </w: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江苏省溧阳竹箦阀业有限公司</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竹箦</w:t>
            </w:r>
          </w:p>
        </w:tc>
        <w:tc>
          <w:tcPr>
            <w:tcW w:w="1667"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详见图纸</w:t>
            </w:r>
          </w:p>
        </w:tc>
        <w:tc>
          <w:tcPr>
            <w:tcW w:w="769" w:type="dxa"/>
            <w:gridSpan w:val="2"/>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994"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安徽白湖阀门厂</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白湖</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69" w:type="dxa"/>
            <w:gridSpan w:val="2"/>
            <w:vMerge w:val="continue"/>
            <w:vAlign w:val="center"/>
          </w:tcPr>
          <w:p>
            <w:pPr>
              <w:shd w:val="clear" w:fill="FFFFFF" w:themeFill="background1"/>
              <w:rPr>
                <w:rFonts w:hint="eastAsia" w:ascii="宋体" w:hAnsi="宋体" w:eastAsia="宋体" w:cs="宋体"/>
                <w:color w:val="auto"/>
                <w:szCs w:val="24"/>
                <w:highlight w:val="none"/>
              </w:rPr>
            </w:pPr>
          </w:p>
        </w:tc>
        <w:tc>
          <w:tcPr>
            <w:tcW w:w="994" w:type="dxa"/>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浙江盾安</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盾安</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69" w:type="dxa"/>
            <w:gridSpan w:val="2"/>
            <w:vMerge w:val="continue"/>
            <w:vAlign w:val="center"/>
          </w:tcPr>
          <w:p>
            <w:pPr>
              <w:shd w:val="clear" w:fill="FFFFFF" w:themeFill="background1"/>
              <w:rPr>
                <w:rFonts w:hint="eastAsia" w:ascii="宋体" w:hAnsi="宋体" w:eastAsia="宋体" w:cs="宋体"/>
                <w:color w:val="auto"/>
                <w:szCs w:val="24"/>
                <w:highlight w:val="none"/>
              </w:rPr>
            </w:pPr>
          </w:p>
        </w:tc>
        <w:tc>
          <w:tcPr>
            <w:tcW w:w="994" w:type="dxa"/>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4" w:hRule="atLeast"/>
          <w:jc w:val="center"/>
        </w:trPr>
        <w:tc>
          <w:tcPr>
            <w:tcW w:w="1686"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给排水管</w:t>
            </w: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浙江中财</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中财</w:t>
            </w:r>
          </w:p>
        </w:tc>
        <w:tc>
          <w:tcPr>
            <w:tcW w:w="1667"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详见图纸</w:t>
            </w:r>
          </w:p>
        </w:tc>
        <w:tc>
          <w:tcPr>
            <w:tcW w:w="769" w:type="dxa"/>
            <w:gridSpan w:val="2"/>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994"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江阴联通</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联通</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69" w:type="dxa"/>
            <w:gridSpan w:val="2"/>
            <w:vMerge w:val="continue"/>
            <w:vAlign w:val="center"/>
          </w:tcPr>
          <w:p>
            <w:pPr>
              <w:shd w:val="clear" w:fill="FFFFFF" w:themeFill="background1"/>
              <w:rPr>
                <w:rFonts w:hint="eastAsia" w:ascii="宋体" w:hAnsi="宋体" w:eastAsia="宋体" w:cs="宋体"/>
                <w:color w:val="auto"/>
                <w:szCs w:val="24"/>
                <w:highlight w:val="none"/>
              </w:rPr>
            </w:pPr>
          </w:p>
        </w:tc>
        <w:tc>
          <w:tcPr>
            <w:tcW w:w="994" w:type="dxa"/>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河北涿州</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荣安</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69" w:type="dxa"/>
            <w:gridSpan w:val="2"/>
            <w:vMerge w:val="continue"/>
            <w:vAlign w:val="center"/>
          </w:tcPr>
          <w:p>
            <w:pPr>
              <w:shd w:val="clear" w:fill="FFFFFF" w:themeFill="background1"/>
              <w:rPr>
                <w:rFonts w:hint="eastAsia" w:ascii="宋体" w:hAnsi="宋体" w:eastAsia="宋体" w:cs="宋体"/>
                <w:color w:val="auto"/>
                <w:szCs w:val="24"/>
                <w:highlight w:val="none"/>
              </w:rPr>
            </w:pPr>
          </w:p>
        </w:tc>
        <w:tc>
          <w:tcPr>
            <w:tcW w:w="994" w:type="dxa"/>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宁波波尔</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波尔</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69" w:type="dxa"/>
            <w:gridSpan w:val="2"/>
            <w:vMerge w:val="continue"/>
            <w:vAlign w:val="center"/>
          </w:tcPr>
          <w:p>
            <w:pPr>
              <w:shd w:val="clear" w:fill="FFFFFF" w:themeFill="background1"/>
              <w:rPr>
                <w:rFonts w:hint="eastAsia" w:ascii="宋体" w:hAnsi="宋体" w:eastAsia="宋体" w:cs="宋体"/>
                <w:color w:val="auto"/>
                <w:szCs w:val="24"/>
                <w:highlight w:val="none"/>
              </w:rPr>
            </w:pPr>
          </w:p>
        </w:tc>
        <w:tc>
          <w:tcPr>
            <w:tcW w:w="994" w:type="dxa"/>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南京联塑</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联塑</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69" w:type="dxa"/>
            <w:gridSpan w:val="2"/>
            <w:vMerge w:val="continue"/>
            <w:vAlign w:val="center"/>
          </w:tcPr>
          <w:p>
            <w:pPr>
              <w:shd w:val="clear" w:fill="FFFFFF" w:themeFill="background1"/>
              <w:rPr>
                <w:rFonts w:hint="eastAsia" w:ascii="宋体" w:hAnsi="宋体" w:eastAsia="宋体" w:cs="宋体"/>
                <w:color w:val="auto"/>
                <w:szCs w:val="24"/>
                <w:highlight w:val="none"/>
              </w:rPr>
            </w:pPr>
          </w:p>
        </w:tc>
        <w:tc>
          <w:tcPr>
            <w:tcW w:w="994" w:type="dxa"/>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686"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钢管及镀锌管</w:t>
            </w: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天津</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银泽</w:t>
            </w:r>
          </w:p>
        </w:tc>
        <w:tc>
          <w:tcPr>
            <w:tcW w:w="1667"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详见图纸</w:t>
            </w:r>
          </w:p>
        </w:tc>
        <w:tc>
          <w:tcPr>
            <w:tcW w:w="769" w:type="dxa"/>
            <w:gridSpan w:val="2"/>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994"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4"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天津</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友发</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69" w:type="dxa"/>
            <w:gridSpan w:val="2"/>
            <w:vMerge w:val="continue"/>
            <w:vAlign w:val="center"/>
          </w:tcPr>
          <w:p>
            <w:pPr>
              <w:shd w:val="clear" w:fill="FFFFFF" w:themeFill="background1"/>
              <w:rPr>
                <w:rFonts w:hint="eastAsia" w:ascii="宋体" w:hAnsi="宋体" w:eastAsia="宋体" w:cs="宋体"/>
                <w:color w:val="auto"/>
                <w:szCs w:val="24"/>
                <w:highlight w:val="none"/>
              </w:rPr>
            </w:pPr>
          </w:p>
        </w:tc>
        <w:tc>
          <w:tcPr>
            <w:tcW w:w="994" w:type="dxa"/>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天津</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君成</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69" w:type="dxa"/>
            <w:gridSpan w:val="2"/>
            <w:vMerge w:val="continue"/>
            <w:vAlign w:val="center"/>
          </w:tcPr>
          <w:p>
            <w:pPr>
              <w:shd w:val="clear" w:fill="FFFFFF" w:themeFill="background1"/>
              <w:rPr>
                <w:rFonts w:hint="eastAsia" w:ascii="宋体" w:hAnsi="宋体" w:eastAsia="宋体" w:cs="宋体"/>
                <w:color w:val="auto"/>
                <w:szCs w:val="24"/>
                <w:highlight w:val="none"/>
              </w:rPr>
            </w:pPr>
          </w:p>
        </w:tc>
        <w:tc>
          <w:tcPr>
            <w:tcW w:w="994" w:type="dxa"/>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686"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电线、电缆</w:t>
            </w: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浙江温州</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正泰</w:t>
            </w:r>
          </w:p>
        </w:tc>
        <w:tc>
          <w:tcPr>
            <w:tcW w:w="1667"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详见图纸</w:t>
            </w:r>
          </w:p>
        </w:tc>
        <w:tc>
          <w:tcPr>
            <w:tcW w:w="769" w:type="dxa"/>
            <w:gridSpan w:val="2"/>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994"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江苏宜兴</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远东</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69" w:type="dxa"/>
            <w:gridSpan w:val="2"/>
            <w:vMerge w:val="continue"/>
            <w:vAlign w:val="center"/>
          </w:tcPr>
          <w:p>
            <w:pPr>
              <w:shd w:val="clear" w:fill="FFFFFF" w:themeFill="background1"/>
              <w:rPr>
                <w:rFonts w:hint="eastAsia" w:ascii="宋体" w:hAnsi="宋体" w:eastAsia="宋体" w:cs="宋体"/>
                <w:color w:val="auto"/>
                <w:szCs w:val="24"/>
                <w:highlight w:val="none"/>
              </w:rPr>
            </w:pPr>
          </w:p>
        </w:tc>
        <w:tc>
          <w:tcPr>
            <w:tcW w:w="994" w:type="dxa"/>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安徽合肥</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绿宝</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69" w:type="dxa"/>
            <w:gridSpan w:val="2"/>
            <w:vMerge w:val="continue"/>
            <w:vAlign w:val="center"/>
          </w:tcPr>
          <w:p>
            <w:pPr>
              <w:shd w:val="clear" w:fill="FFFFFF" w:themeFill="background1"/>
              <w:rPr>
                <w:rFonts w:hint="eastAsia" w:ascii="宋体" w:hAnsi="宋体" w:eastAsia="宋体" w:cs="宋体"/>
                <w:color w:val="auto"/>
                <w:szCs w:val="24"/>
                <w:highlight w:val="none"/>
              </w:rPr>
            </w:pPr>
          </w:p>
        </w:tc>
        <w:tc>
          <w:tcPr>
            <w:tcW w:w="994" w:type="dxa"/>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686"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开关、插座（含弱电）</w:t>
            </w: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浙江温州</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正泰</w:t>
            </w:r>
          </w:p>
        </w:tc>
        <w:tc>
          <w:tcPr>
            <w:tcW w:w="1667"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详见图纸</w:t>
            </w:r>
          </w:p>
        </w:tc>
        <w:tc>
          <w:tcPr>
            <w:tcW w:w="769" w:type="dxa"/>
            <w:gridSpan w:val="2"/>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994"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4"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杭州鸿雁电器有限公司</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鸿雁</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69" w:type="dxa"/>
            <w:gridSpan w:val="2"/>
            <w:vMerge w:val="continue"/>
            <w:vAlign w:val="center"/>
          </w:tcPr>
          <w:p>
            <w:pPr>
              <w:shd w:val="clear" w:fill="FFFFFF" w:themeFill="background1"/>
              <w:rPr>
                <w:rFonts w:hint="eastAsia" w:ascii="宋体" w:hAnsi="宋体" w:eastAsia="宋体" w:cs="宋体"/>
                <w:color w:val="auto"/>
                <w:szCs w:val="24"/>
                <w:highlight w:val="none"/>
              </w:rPr>
            </w:pPr>
          </w:p>
        </w:tc>
        <w:tc>
          <w:tcPr>
            <w:tcW w:w="994" w:type="dxa"/>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温州飞雕照明电器</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飞雕</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69" w:type="dxa"/>
            <w:gridSpan w:val="2"/>
            <w:vMerge w:val="continue"/>
            <w:vAlign w:val="center"/>
          </w:tcPr>
          <w:p>
            <w:pPr>
              <w:shd w:val="clear" w:fill="FFFFFF" w:themeFill="background1"/>
              <w:rPr>
                <w:rFonts w:hint="eastAsia" w:ascii="宋体" w:hAnsi="宋体" w:eastAsia="宋体" w:cs="宋体"/>
                <w:color w:val="auto"/>
                <w:szCs w:val="24"/>
                <w:highlight w:val="none"/>
              </w:rPr>
            </w:pPr>
          </w:p>
        </w:tc>
        <w:tc>
          <w:tcPr>
            <w:tcW w:w="994" w:type="dxa"/>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686"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灯具</w:t>
            </w: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广州</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TCL</w:t>
            </w:r>
          </w:p>
        </w:tc>
        <w:tc>
          <w:tcPr>
            <w:tcW w:w="1667"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详见图纸</w:t>
            </w:r>
          </w:p>
        </w:tc>
        <w:tc>
          <w:tcPr>
            <w:tcW w:w="769" w:type="dxa"/>
            <w:gridSpan w:val="2"/>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994"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686" w:type="dxa"/>
            <w:vMerge w:val="continue"/>
            <w:vAlign w:val="center"/>
          </w:tcPr>
          <w:p>
            <w:pPr>
              <w:pStyle w:val="15"/>
              <w:shd w:val="clear" w:fill="FFFFFF" w:themeFill="background1"/>
              <w:jc w:val="center"/>
              <w:rPr>
                <w:rFonts w:hint="eastAsia" w:ascii="宋体" w:hAnsi="宋体" w:eastAsia="宋体" w:cs="宋体"/>
                <w:color w:val="auto"/>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上海</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欧普</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69" w:type="dxa"/>
            <w:gridSpan w:val="2"/>
            <w:vMerge w:val="continue"/>
            <w:vAlign w:val="center"/>
          </w:tcPr>
          <w:p>
            <w:pPr>
              <w:shd w:val="clear" w:fill="FFFFFF" w:themeFill="background1"/>
              <w:rPr>
                <w:rFonts w:hint="eastAsia" w:ascii="宋体" w:hAnsi="宋体" w:eastAsia="宋体" w:cs="宋体"/>
                <w:color w:val="auto"/>
                <w:szCs w:val="24"/>
                <w:highlight w:val="none"/>
              </w:rPr>
            </w:pPr>
          </w:p>
        </w:tc>
        <w:tc>
          <w:tcPr>
            <w:tcW w:w="994" w:type="dxa"/>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686" w:type="dxa"/>
            <w:vMerge w:val="continue"/>
            <w:vAlign w:val="center"/>
          </w:tcPr>
          <w:p>
            <w:pPr>
              <w:pStyle w:val="15"/>
              <w:shd w:val="clear" w:fill="FFFFFF" w:themeFill="background1"/>
              <w:jc w:val="center"/>
              <w:rPr>
                <w:rFonts w:hint="eastAsia" w:ascii="宋体" w:hAnsi="宋体" w:eastAsia="宋体" w:cs="宋体"/>
                <w:color w:val="auto"/>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广东、重庆、浙江、上海</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雷士</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69" w:type="dxa"/>
            <w:gridSpan w:val="2"/>
            <w:vMerge w:val="continue"/>
            <w:vAlign w:val="center"/>
          </w:tcPr>
          <w:p>
            <w:pPr>
              <w:shd w:val="clear" w:fill="FFFFFF" w:themeFill="background1"/>
              <w:rPr>
                <w:rFonts w:hint="eastAsia" w:ascii="宋体" w:hAnsi="宋体" w:eastAsia="宋体" w:cs="宋体"/>
                <w:color w:val="auto"/>
                <w:szCs w:val="24"/>
                <w:highlight w:val="none"/>
              </w:rPr>
            </w:pPr>
          </w:p>
        </w:tc>
        <w:tc>
          <w:tcPr>
            <w:tcW w:w="994" w:type="dxa"/>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686" w:type="dxa"/>
            <w:vMerge w:val="continue"/>
            <w:vAlign w:val="center"/>
          </w:tcPr>
          <w:p>
            <w:pPr>
              <w:pStyle w:val="15"/>
              <w:shd w:val="clear" w:fill="FFFFFF" w:themeFill="background1"/>
              <w:jc w:val="center"/>
              <w:rPr>
                <w:rFonts w:hint="eastAsia" w:ascii="宋体" w:hAnsi="宋体" w:eastAsia="宋体" w:cs="宋体"/>
                <w:color w:val="auto"/>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广东</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华艺</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69" w:type="dxa"/>
            <w:gridSpan w:val="2"/>
            <w:vMerge w:val="continue"/>
            <w:vAlign w:val="center"/>
          </w:tcPr>
          <w:p>
            <w:pPr>
              <w:shd w:val="clear" w:fill="FFFFFF" w:themeFill="background1"/>
              <w:rPr>
                <w:rFonts w:hint="eastAsia" w:ascii="宋体" w:hAnsi="宋体" w:eastAsia="宋体" w:cs="宋体"/>
                <w:color w:val="auto"/>
                <w:szCs w:val="24"/>
                <w:highlight w:val="none"/>
              </w:rPr>
            </w:pPr>
          </w:p>
        </w:tc>
        <w:tc>
          <w:tcPr>
            <w:tcW w:w="994" w:type="dxa"/>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4" w:hRule="atLeast"/>
          <w:jc w:val="center"/>
        </w:trPr>
        <w:tc>
          <w:tcPr>
            <w:tcW w:w="1686"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SBS</w:t>
            </w: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山东</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雨虹</w:t>
            </w:r>
          </w:p>
        </w:tc>
        <w:tc>
          <w:tcPr>
            <w:tcW w:w="1667"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详见图纸</w:t>
            </w:r>
          </w:p>
        </w:tc>
        <w:tc>
          <w:tcPr>
            <w:tcW w:w="769" w:type="dxa"/>
            <w:gridSpan w:val="2"/>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c>
          <w:tcPr>
            <w:tcW w:w="994" w:type="dxa"/>
            <w:vMerge w:val="restart"/>
            <w:vAlign w:val="center"/>
          </w:tcPr>
          <w:p>
            <w:pPr>
              <w:pStyle w:val="15"/>
              <w:shd w:val="clear" w:fill="FFFFFF" w:themeFill="background1"/>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河南彩虹防水材料有限公司</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彩虹</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69" w:type="dxa"/>
            <w:gridSpan w:val="2"/>
            <w:vMerge w:val="continue"/>
            <w:vAlign w:val="center"/>
          </w:tcPr>
          <w:p>
            <w:pPr>
              <w:shd w:val="clear" w:fill="FFFFFF" w:themeFill="background1"/>
              <w:rPr>
                <w:rFonts w:hint="eastAsia" w:ascii="宋体" w:hAnsi="宋体" w:eastAsia="宋体" w:cs="宋体"/>
                <w:color w:val="auto"/>
                <w:szCs w:val="24"/>
                <w:highlight w:val="none"/>
              </w:rPr>
            </w:pPr>
          </w:p>
        </w:tc>
        <w:tc>
          <w:tcPr>
            <w:tcW w:w="994" w:type="dxa"/>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安徽</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青龙</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69" w:type="dxa"/>
            <w:gridSpan w:val="2"/>
            <w:vMerge w:val="continue"/>
            <w:vAlign w:val="center"/>
          </w:tcPr>
          <w:p>
            <w:pPr>
              <w:shd w:val="clear" w:fill="FFFFFF" w:themeFill="background1"/>
              <w:rPr>
                <w:rFonts w:hint="eastAsia" w:ascii="宋体" w:hAnsi="宋体" w:eastAsia="宋体" w:cs="宋体"/>
                <w:color w:val="auto"/>
                <w:szCs w:val="24"/>
                <w:highlight w:val="none"/>
              </w:rPr>
            </w:pPr>
          </w:p>
        </w:tc>
        <w:tc>
          <w:tcPr>
            <w:tcW w:w="994" w:type="dxa"/>
            <w:vMerge w:val="continue"/>
            <w:vAlign w:val="center"/>
          </w:tcPr>
          <w:p>
            <w:pPr>
              <w:shd w:val="clear" w:fill="FFFFFF" w:themeFill="background1"/>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686" w:type="dxa"/>
            <w:vMerge w:val="continue"/>
            <w:vAlign w:val="center"/>
          </w:tcPr>
          <w:p>
            <w:pPr>
              <w:shd w:val="clear" w:fill="FFFFFF" w:themeFill="background1"/>
              <w:rPr>
                <w:rFonts w:hint="eastAsia" w:ascii="宋体" w:hAnsi="宋体" w:eastAsia="宋体" w:cs="宋体"/>
                <w:color w:val="auto"/>
                <w:szCs w:val="24"/>
                <w:highlight w:val="none"/>
              </w:rPr>
            </w:pPr>
          </w:p>
        </w:tc>
        <w:tc>
          <w:tcPr>
            <w:tcW w:w="2625" w:type="dxa"/>
            <w:vAlign w:val="center"/>
          </w:tcPr>
          <w:p>
            <w:pPr>
              <w:pStyle w:val="15"/>
              <w:shd w:val="clear" w:fill="FFFFFF" w:themeFill="background1"/>
              <w:spacing w:before="0" w:beforeAutospacing="0" w:after="0" w:line="400" w:lineRule="exact"/>
              <w:rPr>
                <w:rFonts w:hint="eastAsia" w:ascii="宋体" w:hAnsi="宋体" w:eastAsia="宋体" w:cs="宋体"/>
                <w:color w:val="auto"/>
                <w:highlight w:val="none"/>
              </w:rPr>
            </w:pPr>
            <w:r>
              <w:rPr>
                <w:rFonts w:hint="eastAsia" w:ascii="宋体" w:hAnsi="宋体" w:eastAsia="宋体" w:cs="宋体"/>
                <w:color w:val="auto"/>
                <w:highlight w:val="none"/>
              </w:rPr>
              <w:t>安徽</w:t>
            </w:r>
          </w:p>
        </w:tc>
        <w:tc>
          <w:tcPr>
            <w:tcW w:w="1519" w:type="dxa"/>
            <w:vAlign w:val="center"/>
          </w:tcPr>
          <w:p>
            <w:pPr>
              <w:pStyle w:val="15"/>
              <w:shd w:val="clear" w:fill="FFFFFF" w:themeFill="background1"/>
              <w:spacing w:before="0" w:beforeAutospacing="0" w:after="0"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朗凯奇</w:t>
            </w:r>
          </w:p>
        </w:tc>
        <w:tc>
          <w:tcPr>
            <w:tcW w:w="1667" w:type="dxa"/>
            <w:vMerge w:val="continue"/>
            <w:vAlign w:val="center"/>
          </w:tcPr>
          <w:p>
            <w:pPr>
              <w:shd w:val="clear" w:fill="FFFFFF" w:themeFill="background1"/>
              <w:rPr>
                <w:rFonts w:hint="eastAsia" w:ascii="宋体" w:hAnsi="宋体" w:eastAsia="宋体" w:cs="宋体"/>
                <w:color w:val="auto"/>
                <w:szCs w:val="24"/>
                <w:highlight w:val="none"/>
              </w:rPr>
            </w:pPr>
          </w:p>
        </w:tc>
        <w:tc>
          <w:tcPr>
            <w:tcW w:w="769" w:type="dxa"/>
            <w:gridSpan w:val="2"/>
            <w:vMerge w:val="continue"/>
            <w:vAlign w:val="center"/>
          </w:tcPr>
          <w:p>
            <w:pPr>
              <w:shd w:val="clear" w:fill="FFFFFF" w:themeFill="background1"/>
              <w:rPr>
                <w:rFonts w:hint="eastAsia" w:ascii="宋体" w:hAnsi="宋体" w:eastAsia="宋体" w:cs="宋体"/>
                <w:color w:val="auto"/>
                <w:szCs w:val="24"/>
                <w:highlight w:val="none"/>
              </w:rPr>
            </w:pPr>
          </w:p>
        </w:tc>
        <w:tc>
          <w:tcPr>
            <w:tcW w:w="994" w:type="dxa"/>
            <w:vMerge w:val="continue"/>
            <w:vAlign w:val="center"/>
          </w:tcPr>
          <w:p>
            <w:pPr>
              <w:shd w:val="clear" w:fill="FFFFFF" w:themeFill="background1"/>
              <w:rPr>
                <w:rFonts w:hint="eastAsia" w:ascii="宋体" w:hAnsi="宋体" w:eastAsia="宋体" w:cs="宋体"/>
                <w:color w:val="auto"/>
                <w:szCs w:val="24"/>
                <w:highlight w:val="none"/>
              </w:rPr>
            </w:pPr>
          </w:p>
        </w:tc>
      </w:tr>
    </w:tbl>
    <w:p>
      <w:pPr>
        <w:shd w:val="clear" w:fill="FFFFFF" w:themeFill="background1"/>
        <w:rPr>
          <w:rFonts w:hint="eastAsia" w:ascii="宋体" w:hAnsi="宋体" w:eastAsia="宋体" w:cs="宋体"/>
          <w:color w:val="auto"/>
          <w:highlight w:val="none"/>
        </w:rPr>
      </w:pPr>
    </w:p>
    <w:p>
      <w:pPr>
        <w:shd w:val="clear" w:fill="FFFFFF" w:themeFill="background1"/>
        <w:spacing w:line="420" w:lineRule="exact"/>
        <w:jc w:val="center"/>
        <w:rPr>
          <w:rFonts w:hint="eastAsia" w:ascii="宋体" w:hAnsi="宋体" w:eastAsia="宋体" w:cs="宋体"/>
          <w:b/>
          <w:color w:val="auto"/>
          <w:sz w:val="32"/>
          <w:szCs w:val="32"/>
          <w:highlight w:val="none"/>
        </w:rPr>
      </w:pPr>
      <w:r>
        <w:rPr>
          <w:rFonts w:hint="eastAsia" w:ascii="宋体" w:hAnsi="宋体" w:eastAsia="宋体" w:cs="宋体"/>
          <w:color w:val="auto"/>
          <w:szCs w:val="24"/>
          <w:highlight w:val="none"/>
        </w:rPr>
        <w:br w:type="page"/>
      </w:r>
      <w:bookmarkEnd w:id="248"/>
      <w:bookmarkEnd w:id="249"/>
      <w:bookmarkEnd w:id="250"/>
      <w:bookmarkEnd w:id="251"/>
      <w:bookmarkStart w:id="375" w:name="_Toc296602587"/>
      <w:bookmarkStart w:id="376" w:name="_Toc26620"/>
      <w:bookmarkStart w:id="377" w:name="_Toc152045772"/>
      <w:bookmarkStart w:id="378" w:name="_Toc179632789"/>
      <w:bookmarkStart w:id="379" w:name="_Toc246997083"/>
      <w:bookmarkStart w:id="380" w:name="_Toc246996340"/>
      <w:bookmarkStart w:id="381" w:name="_Toc152042554"/>
      <w:bookmarkStart w:id="382" w:name="_Toc247085855"/>
      <w:bookmarkStart w:id="383" w:name="_Toc144974834"/>
      <w:bookmarkStart w:id="384" w:name="_Toc368985791"/>
      <w:bookmarkStart w:id="385" w:name="_Toc15779_WPSOffice_Level1"/>
      <w:bookmarkStart w:id="386" w:name="_Toc152042557"/>
      <w:bookmarkStart w:id="387" w:name="_Toc296602590"/>
      <w:bookmarkStart w:id="388" w:name="_Toc152045775"/>
      <w:bookmarkStart w:id="389" w:name="_Toc144974837"/>
      <w:r>
        <w:rPr>
          <w:rFonts w:hint="eastAsia" w:ascii="宋体" w:hAnsi="宋体" w:eastAsia="宋体" w:cs="宋体"/>
          <w:b/>
          <w:color w:val="auto"/>
          <w:sz w:val="32"/>
          <w:szCs w:val="32"/>
          <w:highlight w:val="none"/>
        </w:rPr>
        <w:t>第五章  工程量清单</w:t>
      </w:r>
      <w:bookmarkEnd w:id="375"/>
      <w:bookmarkEnd w:id="376"/>
      <w:bookmarkEnd w:id="377"/>
      <w:bookmarkEnd w:id="378"/>
      <w:bookmarkEnd w:id="379"/>
      <w:bookmarkEnd w:id="380"/>
      <w:bookmarkEnd w:id="381"/>
      <w:bookmarkEnd w:id="382"/>
      <w:bookmarkEnd w:id="383"/>
      <w:bookmarkEnd w:id="384"/>
      <w:r>
        <w:rPr>
          <w:rFonts w:hint="eastAsia" w:ascii="宋体" w:hAnsi="宋体" w:eastAsia="宋体" w:cs="宋体"/>
          <w:b/>
          <w:color w:val="auto"/>
          <w:sz w:val="32"/>
          <w:szCs w:val="32"/>
          <w:highlight w:val="none"/>
        </w:rPr>
        <w:t xml:space="preserve">  最高投标限价</w:t>
      </w:r>
      <w:bookmarkEnd w:id="385"/>
    </w:p>
    <w:p>
      <w:pPr>
        <w:pStyle w:val="6"/>
        <w:keepNext w:val="0"/>
        <w:keepLines w:val="0"/>
        <w:shd w:val="clear" w:fill="FFFFFF" w:themeFill="background1"/>
        <w:tabs>
          <w:tab w:val="left" w:pos="3204"/>
        </w:tabs>
        <w:spacing w:before="0" w:after="0" w:line="440" w:lineRule="exact"/>
        <w:rPr>
          <w:rFonts w:hint="eastAsia" w:ascii="宋体" w:hAnsi="宋体" w:eastAsia="宋体" w:cs="宋体"/>
          <w:color w:val="auto"/>
          <w:sz w:val="24"/>
          <w:szCs w:val="21"/>
          <w:highlight w:val="none"/>
        </w:rPr>
      </w:pPr>
      <w:bookmarkStart w:id="390" w:name="_Toc246997084"/>
      <w:bookmarkStart w:id="391" w:name="_Toc3564"/>
      <w:bookmarkStart w:id="392" w:name="_Toc247085856"/>
      <w:bookmarkStart w:id="393" w:name="_Toc179632790"/>
      <w:bookmarkStart w:id="394" w:name="_Toc152045773"/>
      <w:bookmarkStart w:id="395" w:name="_Toc246996341"/>
      <w:bookmarkStart w:id="396" w:name="_Toc14513"/>
      <w:bookmarkStart w:id="397" w:name="_Toc296602588"/>
      <w:bookmarkStart w:id="398" w:name="_Toc144974835"/>
      <w:bookmarkStart w:id="399" w:name="_Toc152042555"/>
      <w:r>
        <w:rPr>
          <w:rFonts w:hint="eastAsia" w:ascii="宋体" w:hAnsi="宋体" w:eastAsia="宋体" w:cs="宋体"/>
          <w:color w:val="auto"/>
          <w:sz w:val="24"/>
          <w:szCs w:val="21"/>
          <w:highlight w:val="none"/>
        </w:rPr>
        <w:t>1. 工程量清单说明</w:t>
      </w:r>
      <w:bookmarkEnd w:id="390"/>
      <w:bookmarkEnd w:id="391"/>
      <w:bookmarkEnd w:id="392"/>
      <w:bookmarkEnd w:id="393"/>
      <w:bookmarkEnd w:id="394"/>
      <w:bookmarkEnd w:id="395"/>
      <w:bookmarkEnd w:id="396"/>
      <w:bookmarkEnd w:id="397"/>
      <w:bookmarkEnd w:id="398"/>
      <w:bookmarkEnd w:id="399"/>
      <w:r>
        <w:rPr>
          <w:rFonts w:hint="eastAsia" w:ascii="宋体" w:hAnsi="宋体" w:eastAsia="宋体" w:cs="宋体"/>
          <w:color w:val="auto"/>
          <w:sz w:val="24"/>
          <w:szCs w:val="21"/>
          <w:highlight w:val="none"/>
        </w:rPr>
        <w:tab/>
      </w:r>
    </w:p>
    <w:p>
      <w:pPr>
        <w:shd w:val="clear" w:fill="FFFFFF" w:themeFill="background1"/>
        <w:spacing w:line="440" w:lineRule="exact"/>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hd w:val="clear" w:fill="FFFFFF" w:themeFill="background1"/>
        <w:spacing w:line="440" w:lineRule="exact"/>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1.2 本工程量清单应与招标文件中的投标人须知、通用合同条款、专用合同条款、技术标准和要求及图纸等一起阅读和理解。</w:t>
      </w:r>
    </w:p>
    <w:p>
      <w:pPr>
        <w:shd w:val="clear" w:fill="FFFFFF" w:themeFill="background1"/>
        <w:spacing w:line="440" w:lineRule="exact"/>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1.3 合同协议中约定采用单价合同形式的，本工程量清单仅是投标报价的共同基础，实际工程计量和工程价款的支付应遵循合同条款的约定和第七章“技术标准和要求”的有关规定。</w:t>
      </w:r>
    </w:p>
    <w:p>
      <w:pPr>
        <w:shd w:val="clear" w:fill="FFFFFF" w:themeFill="background1"/>
        <w:spacing w:line="440" w:lineRule="exact"/>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合同协议中约定采用总价合同形式的，已标价工程量清单中的各项工程量对合同双方不具合同约束力，本工程量清单仅供投标人参考。</w:t>
      </w:r>
    </w:p>
    <w:p>
      <w:pPr>
        <w:shd w:val="clear" w:fill="FFFFFF" w:themeFill="background1"/>
        <w:spacing w:line="440" w:lineRule="exact"/>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1.4补充子目工程量计算规则及子目工作内容说明：</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hd w:val="clear" w:fill="FFFFFF" w:themeFill="background1"/>
        <w:spacing w:line="440" w:lineRule="exact"/>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1.5 工程量清单编制采用统一格式和表格、具体构成内容见“工程量清单”。</w:t>
      </w:r>
    </w:p>
    <w:p>
      <w:pPr>
        <w:shd w:val="clear" w:fill="FFFFFF" w:themeFill="background1"/>
        <w:spacing w:line="440" w:lineRule="exact"/>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1.6 分部分项工程量清单项目特征是结合本工程项目的实际情况予以描述的，对清单项目的技术和质量有要求的，见招标文件技术部分。措施项目清单中通用部分遵循计价规范编制。专业工程措施项目按规定和工程实际情况确定。其他项目清单、规费项目清单、税金项目清单、项目名称和内容见附件“工程量清单”。</w:t>
      </w:r>
      <w:bookmarkStart w:id="400" w:name="_Toc19026"/>
      <w:bookmarkStart w:id="401" w:name="_Toc3388"/>
      <w:bookmarkStart w:id="402" w:name="_Toc179632791"/>
      <w:bookmarkStart w:id="403" w:name="_Toc152042556"/>
      <w:bookmarkStart w:id="404" w:name="_Toc144974836"/>
      <w:bookmarkStart w:id="405" w:name="_Toc152045774"/>
      <w:bookmarkStart w:id="406" w:name="_Toc246997085"/>
      <w:bookmarkStart w:id="407" w:name="_Toc246996342"/>
      <w:bookmarkStart w:id="408" w:name="_Toc296602589"/>
      <w:bookmarkStart w:id="409" w:name="_Toc247085857"/>
    </w:p>
    <w:p>
      <w:pPr>
        <w:pStyle w:val="6"/>
        <w:keepNext w:val="0"/>
        <w:keepLines w:val="0"/>
        <w:shd w:val="clear" w:fill="FFFFFF" w:themeFill="background1"/>
        <w:spacing w:before="0" w:after="0" w:line="440" w:lineRule="exact"/>
        <w:ind w:firstLine="480" w:firstLineChars="200"/>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1.7 因报价表中暂估价、预留金名称与最高投标限价中的名称不同以及取费标准不同等事项造成项目评标过程中部分投标文件被否决。为统一标准，便于评标，提高效率，要求代理机构及最高投标限价编制单位编制最高投标限价时名称统一使用暂估价和暂列金额，暂估价及暂列金额直接进入总价，不再计取各项税、费。</w:t>
      </w:r>
    </w:p>
    <w:p>
      <w:pPr>
        <w:pStyle w:val="6"/>
        <w:keepNext w:val="0"/>
        <w:keepLines w:val="0"/>
        <w:shd w:val="clear" w:fill="FFFFFF" w:themeFill="background1"/>
        <w:spacing w:before="0" w:after="0" w:line="440" w:lineRule="exact"/>
        <w:ind w:firstLine="482" w:firstLineChars="200"/>
        <w:rPr>
          <w:rFonts w:hint="eastAsia" w:ascii="宋体" w:hAnsi="宋体" w:eastAsia="宋体" w:cs="宋体"/>
          <w:bCs w:val="0"/>
          <w:color w:val="auto"/>
          <w:sz w:val="24"/>
          <w:szCs w:val="21"/>
          <w:highlight w:val="none"/>
        </w:rPr>
      </w:pPr>
      <w:r>
        <w:rPr>
          <w:rFonts w:hint="eastAsia" w:ascii="宋体" w:hAnsi="宋体" w:eastAsia="宋体" w:cs="宋体"/>
          <w:bCs w:val="0"/>
          <w:color w:val="auto"/>
          <w:sz w:val="24"/>
          <w:szCs w:val="21"/>
          <w:highlight w:val="none"/>
        </w:rPr>
        <w:t>1.8其他未列明事项请参看《清单控制价编制说明》。</w:t>
      </w:r>
    </w:p>
    <w:p>
      <w:pPr>
        <w:pStyle w:val="6"/>
        <w:keepNext w:val="0"/>
        <w:keepLines w:val="0"/>
        <w:shd w:val="clear" w:fill="FFFFFF" w:themeFill="background1"/>
        <w:spacing w:before="0" w:after="0" w:line="44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 投标报价说明</w:t>
      </w:r>
      <w:bookmarkEnd w:id="400"/>
      <w:bookmarkEnd w:id="401"/>
      <w:bookmarkEnd w:id="402"/>
      <w:bookmarkEnd w:id="403"/>
      <w:bookmarkEnd w:id="404"/>
      <w:bookmarkEnd w:id="405"/>
      <w:bookmarkEnd w:id="406"/>
      <w:bookmarkEnd w:id="407"/>
      <w:bookmarkEnd w:id="408"/>
      <w:bookmarkEnd w:id="409"/>
    </w:p>
    <w:p>
      <w:pPr>
        <w:shd w:val="clear" w:fill="FFFFFF" w:themeFill="background1"/>
        <w:spacing w:line="440" w:lineRule="exact"/>
        <w:ind w:firstLine="482" w:firstLineChars="200"/>
        <w:outlineLvl w:val="2"/>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投标报价按《投标人须知前附表》相关要求进行报价。 </w:t>
      </w:r>
    </w:p>
    <w:p>
      <w:pPr>
        <w:pStyle w:val="6"/>
        <w:keepNext w:val="0"/>
        <w:keepLines w:val="0"/>
        <w:shd w:val="clear" w:fill="FFFFFF" w:themeFill="background1"/>
        <w:spacing w:before="0" w:after="0" w:line="440" w:lineRule="exact"/>
        <w:rPr>
          <w:rFonts w:hint="eastAsia" w:ascii="宋体" w:hAnsi="宋体" w:eastAsia="宋体" w:cs="宋体"/>
          <w:color w:val="auto"/>
          <w:sz w:val="24"/>
          <w:szCs w:val="21"/>
          <w:highlight w:val="none"/>
        </w:rPr>
      </w:pPr>
      <w:bookmarkStart w:id="410" w:name="_Toc5924"/>
      <w:bookmarkStart w:id="411" w:name="_Toc247085858"/>
      <w:bookmarkStart w:id="412" w:name="_Toc246996343"/>
      <w:bookmarkStart w:id="413" w:name="_Toc3561"/>
      <w:bookmarkStart w:id="414" w:name="_Toc246997086"/>
      <w:bookmarkStart w:id="415" w:name="_Toc179632792"/>
      <w:r>
        <w:rPr>
          <w:rFonts w:hint="eastAsia" w:ascii="宋体" w:hAnsi="宋体" w:eastAsia="宋体" w:cs="宋体"/>
          <w:color w:val="auto"/>
          <w:sz w:val="24"/>
          <w:szCs w:val="21"/>
          <w:highlight w:val="none"/>
        </w:rPr>
        <w:t>3. 其他说明</w:t>
      </w:r>
      <w:bookmarkEnd w:id="410"/>
      <w:bookmarkEnd w:id="411"/>
      <w:bookmarkEnd w:id="412"/>
      <w:bookmarkEnd w:id="413"/>
      <w:bookmarkEnd w:id="414"/>
      <w:bookmarkEnd w:id="415"/>
    </w:p>
    <w:p>
      <w:pPr>
        <w:shd w:val="clear" w:fill="FFFFFF" w:themeFill="background1"/>
        <w:spacing w:line="440" w:lineRule="exact"/>
        <w:ind w:firstLine="480" w:firstLineChars="20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3.1 最高投标限价编制的依据有：</w:t>
      </w:r>
    </w:p>
    <w:p>
      <w:pPr>
        <w:shd w:val="clear" w:fill="FFFFFF" w:themeFill="background1"/>
        <w:spacing w:line="440" w:lineRule="exact"/>
        <w:ind w:firstLine="480" w:firstLineChars="200"/>
        <w:outlineLvl w:val="4"/>
        <w:rPr>
          <w:rFonts w:hint="eastAsia" w:ascii="宋体" w:hAnsi="宋体" w:eastAsia="宋体" w:cs="宋体"/>
          <w:color w:val="auto"/>
          <w:sz w:val="24"/>
          <w:highlight w:val="none"/>
        </w:rPr>
      </w:pPr>
      <w:r>
        <w:rPr>
          <w:rFonts w:hint="eastAsia" w:ascii="宋体" w:hAnsi="宋体" w:eastAsia="宋体" w:cs="宋体"/>
          <w:color w:val="auto"/>
          <w:sz w:val="24"/>
          <w:highlight w:val="none"/>
        </w:rPr>
        <w:t>（1）最高投标限价采用综合单价计价。按国家、行业和地方政府的有关规定、计价规范、本省现行实施的计价定额、计价办法及工程所在地市计价规定：</w:t>
      </w:r>
      <w:r>
        <w:rPr>
          <w:rFonts w:hint="eastAsia" w:ascii="宋体" w:hAnsi="宋体" w:eastAsia="宋体" w:cs="宋体"/>
          <w:color w:val="auto"/>
          <w:sz w:val="24"/>
          <w:szCs w:val="24"/>
          <w:highlight w:val="none"/>
        </w:rPr>
        <w:t>2018版《安徽省建设工程工程量清单计价办法》、《安徽省建设工程费用定额》、《安徽省建设工程施工机械台班费用编制规则》、《安徽省建设工程计价定额(共用册）》、《安徽省建筑工程计价定额》、《安徽省装饰装修工程计价定额》、《安徽省安装工程计价定额》、《安徽省市政工程计价定额》、《安徽省园林绿化工程计价定额》、《安徽省仿古建筑工程计价定额》及配套计价依据。</w:t>
      </w:r>
    </w:p>
    <w:p>
      <w:pPr>
        <w:shd w:val="clear" w:fill="FFFFFF" w:themeFill="background1"/>
        <w:spacing w:line="440" w:lineRule="exact"/>
        <w:ind w:firstLine="480" w:firstLineChars="200"/>
        <w:outlineLvl w:val="4"/>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（2）工程项目设计文件及相关资料。</w:t>
      </w:r>
    </w:p>
    <w:p>
      <w:pPr>
        <w:shd w:val="clear" w:fill="FFFFFF" w:themeFill="background1"/>
        <w:spacing w:line="440" w:lineRule="exact"/>
        <w:ind w:firstLine="480" w:firstLineChars="200"/>
        <w:outlineLvl w:val="4"/>
        <w:rPr>
          <w:rFonts w:hint="eastAsia" w:ascii="宋体" w:hAnsi="宋体" w:eastAsia="宋体" w:cs="宋体"/>
          <w:color w:val="auto"/>
          <w:sz w:val="24"/>
          <w:highlight w:val="none"/>
        </w:rPr>
      </w:pPr>
      <w:r>
        <w:rPr>
          <w:rFonts w:hint="eastAsia" w:ascii="宋体" w:hAnsi="宋体" w:eastAsia="宋体" w:cs="宋体"/>
          <w:color w:val="auto"/>
          <w:sz w:val="24"/>
          <w:highlight w:val="none"/>
        </w:rPr>
        <w:t>（3）本招标文件中的工程量清单及有关要求。</w:t>
      </w:r>
    </w:p>
    <w:p>
      <w:pPr>
        <w:shd w:val="clear" w:fill="FFFFFF" w:themeFill="background1"/>
        <w:spacing w:line="440" w:lineRule="exact"/>
        <w:ind w:firstLine="480" w:firstLineChars="200"/>
        <w:outlineLvl w:val="4"/>
        <w:rPr>
          <w:rFonts w:hint="eastAsia" w:ascii="宋体" w:hAnsi="宋体" w:eastAsia="宋体" w:cs="宋体"/>
          <w:color w:val="auto"/>
          <w:sz w:val="24"/>
          <w:highlight w:val="none"/>
        </w:rPr>
      </w:pPr>
      <w:r>
        <w:rPr>
          <w:rFonts w:hint="eastAsia" w:ascii="宋体" w:hAnsi="宋体" w:eastAsia="宋体" w:cs="宋体"/>
          <w:color w:val="auto"/>
          <w:sz w:val="24"/>
          <w:highlight w:val="none"/>
        </w:rPr>
        <w:t>（4）本工程项目所涉及的常规施工组织设计和施工方案以及所采用的施工机械。</w:t>
      </w:r>
    </w:p>
    <w:p>
      <w:pPr>
        <w:shd w:val="clear" w:fill="FFFFFF" w:themeFill="background1"/>
        <w:spacing w:line="440" w:lineRule="exact"/>
        <w:ind w:firstLine="480" w:firstLineChars="200"/>
        <w:outlineLvl w:val="4"/>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（5）材料价格参照《阜阳工程造价信息》</w:t>
      </w:r>
      <w:r>
        <w:rPr>
          <w:rFonts w:hint="eastAsia" w:ascii="宋体" w:hAnsi="宋体" w:eastAsia="宋体" w:cs="宋体"/>
          <w:color w:val="auto"/>
          <w:sz w:val="24"/>
          <w:highlight w:val="none"/>
          <w:u w:val="single"/>
        </w:rPr>
        <w:t xml:space="preserve"> 2018 </w:t>
      </w:r>
      <w:r>
        <w:rPr>
          <w:rFonts w:hint="eastAsia" w:ascii="宋体" w:hAnsi="宋体" w:eastAsia="宋体" w:cs="宋体"/>
          <w:color w:val="auto"/>
          <w:sz w:val="24"/>
          <w:highlight w:val="none"/>
        </w:rPr>
        <w:t>年,第</w:t>
      </w:r>
      <w:r>
        <w:rPr>
          <w:rFonts w:hint="eastAsia" w:ascii="宋体" w:hAnsi="宋体" w:eastAsia="宋体" w:cs="宋体"/>
          <w:color w:val="auto"/>
          <w:sz w:val="24"/>
          <w:highlight w:val="none"/>
          <w:u w:val="single"/>
        </w:rPr>
        <w:t xml:space="preserve"> 4 </w:t>
      </w:r>
      <w:r>
        <w:rPr>
          <w:rFonts w:hint="eastAsia" w:ascii="宋体" w:hAnsi="宋体" w:eastAsia="宋体" w:cs="宋体"/>
          <w:color w:val="auto"/>
          <w:sz w:val="24"/>
          <w:highlight w:val="none"/>
        </w:rPr>
        <w:t>期及市场行情。</w:t>
      </w:r>
    </w:p>
    <w:p>
      <w:pPr>
        <w:shd w:val="clear" w:fill="FFFFFF" w:themeFill="background1"/>
        <w:spacing w:line="440" w:lineRule="exact"/>
        <w:ind w:firstLine="480" w:firstLineChars="200"/>
        <w:outlineLvl w:val="4"/>
        <w:rPr>
          <w:rFonts w:hint="eastAsia" w:ascii="宋体" w:hAnsi="宋体" w:eastAsia="宋体" w:cs="宋体"/>
          <w:color w:val="auto"/>
          <w:sz w:val="24"/>
          <w:highlight w:val="none"/>
        </w:rPr>
      </w:pPr>
      <w:r>
        <w:rPr>
          <w:rFonts w:hint="eastAsia" w:ascii="宋体" w:hAnsi="宋体" w:eastAsia="宋体" w:cs="宋体"/>
          <w:color w:val="auto"/>
          <w:sz w:val="24"/>
          <w:highlight w:val="none"/>
        </w:rPr>
        <w:t>（6）施工期间的风险因素，其中包括：赶工、夜间施工、阴雨等恶劣天气、市场价格上涨、大型机械进退场、施工安全等。</w:t>
      </w:r>
    </w:p>
    <w:p>
      <w:pPr>
        <w:shd w:val="clear" w:fill="FFFFFF" w:themeFill="background1"/>
        <w:spacing w:line="440" w:lineRule="exact"/>
        <w:ind w:firstLine="480" w:firstLineChars="200"/>
        <w:outlineLvl w:val="4"/>
        <w:rPr>
          <w:rFonts w:hint="eastAsia" w:ascii="宋体" w:hAnsi="宋体" w:eastAsia="宋体" w:cs="宋体"/>
          <w:color w:val="auto"/>
          <w:sz w:val="24"/>
          <w:highlight w:val="none"/>
        </w:rPr>
      </w:pPr>
      <w:r>
        <w:rPr>
          <w:rFonts w:hint="eastAsia" w:ascii="宋体" w:hAnsi="宋体" w:eastAsia="宋体" w:cs="宋体"/>
          <w:color w:val="auto"/>
          <w:sz w:val="24"/>
          <w:highlight w:val="none"/>
        </w:rPr>
        <w:t>（7）其他相关材料。</w:t>
      </w:r>
    </w:p>
    <w:p>
      <w:pPr>
        <w:shd w:val="clear" w:fill="FFFFFF" w:themeFill="background1"/>
        <w:spacing w:line="440" w:lineRule="exact"/>
        <w:outlineLvl w:val="4"/>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4、工程量清单和最高投标限价（随同招标文件发布，投标人自行下载）</w:t>
      </w:r>
    </w:p>
    <w:p>
      <w:pPr>
        <w:pStyle w:val="36"/>
        <w:shd w:val="clear" w:fill="FFFFFF" w:themeFill="background1"/>
        <w:spacing w:line="360" w:lineRule="exact"/>
        <w:rPr>
          <w:rFonts w:hint="eastAsia" w:ascii="宋体" w:hAnsi="宋体" w:eastAsia="宋体" w:cs="宋体"/>
          <w:color w:val="auto"/>
          <w:highlight w:val="none"/>
        </w:rPr>
      </w:pPr>
    </w:p>
    <w:p>
      <w:pPr>
        <w:pStyle w:val="36"/>
        <w:shd w:val="clear" w:fill="FFFFFF" w:themeFill="background1"/>
        <w:spacing w:line="360" w:lineRule="exact"/>
        <w:rPr>
          <w:rFonts w:hint="eastAsia" w:ascii="宋体" w:hAnsi="宋体" w:eastAsia="宋体" w:cs="宋体"/>
          <w:color w:val="auto"/>
          <w:highlight w:val="none"/>
        </w:rPr>
      </w:pPr>
    </w:p>
    <w:p>
      <w:pPr>
        <w:pStyle w:val="36"/>
        <w:shd w:val="clear" w:fill="FFFFFF" w:themeFill="background1"/>
        <w:spacing w:line="360" w:lineRule="exact"/>
        <w:rPr>
          <w:rFonts w:hint="eastAsia" w:ascii="宋体" w:hAnsi="宋体" w:eastAsia="宋体" w:cs="宋体"/>
          <w:color w:val="auto"/>
          <w:highlight w:val="none"/>
        </w:rPr>
      </w:pPr>
    </w:p>
    <w:p>
      <w:pPr>
        <w:pStyle w:val="36"/>
        <w:shd w:val="clear" w:fill="FFFFFF" w:themeFill="background1"/>
        <w:spacing w:line="360" w:lineRule="exact"/>
        <w:rPr>
          <w:rFonts w:hint="eastAsia" w:ascii="宋体" w:hAnsi="宋体" w:eastAsia="宋体" w:cs="宋体"/>
          <w:color w:val="auto"/>
          <w:highlight w:val="none"/>
        </w:rPr>
      </w:pPr>
    </w:p>
    <w:p>
      <w:pPr>
        <w:pStyle w:val="36"/>
        <w:shd w:val="clear" w:fill="FFFFFF" w:themeFill="background1"/>
        <w:spacing w:line="360" w:lineRule="exact"/>
        <w:rPr>
          <w:rFonts w:hint="eastAsia" w:ascii="宋体" w:hAnsi="宋体" w:eastAsia="宋体" w:cs="宋体"/>
          <w:color w:val="auto"/>
          <w:highlight w:val="none"/>
        </w:rPr>
      </w:pPr>
    </w:p>
    <w:p>
      <w:pPr>
        <w:pStyle w:val="36"/>
        <w:shd w:val="clear" w:fill="FFFFFF" w:themeFill="background1"/>
        <w:spacing w:line="360" w:lineRule="exact"/>
        <w:rPr>
          <w:rFonts w:hint="eastAsia" w:ascii="宋体" w:hAnsi="宋体" w:eastAsia="宋体" w:cs="宋体"/>
          <w:color w:val="auto"/>
          <w:highlight w:val="none"/>
        </w:rPr>
      </w:pPr>
    </w:p>
    <w:p>
      <w:pPr>
        <w:pStyle w:val="36"/>
        <w:shd w:val="clear" w:fill="FFFFFF" w:themeFill="background1"/>
        <w:spacing w:line="360" w:lineRule="exact"/>
        <w:rPr>
          <w:rFonts w:hint="eastAsia" w:ascii="宋体" w:hAnsi="宋体" w:eastAsia="宋体" w:cs="宋体"/>
          <w:color w:val="auto"/>
          <w:highlight w:val="none"/>
        </w:rPr>
      </w:pPr>
    </w:p>
    <w:p>
      <w:pPr>
        <w:pStyle w:val="36"/>
        <w:shd w:val="clear" w:fill="FFFFFF" w:themeFill="background1"/>
        <w:spacing w:line="360" w:lineRule="exact"/>
        <w:rPr>
          <w:rFonts w:hint="eastAsia" w:ascii="宋体" w:hAnsi="宋体" w:eastAsia="宋体" w:cs="宋体"/>
          <w:color w:val="auto"/>
          <w:highlight w:val="none"/>
        </w:rPr>
      </w:pPr>
    </w:p>
    <w:p>
      <w:pPr>
        <w:pStyle w:val="36"/>
        <w:shd w:val="clear" w:fill="FFFFFF" w:themeFill="background1"/>
        <w:spacing w:line="360" w:lineRule="exact"/>
        <w:rPr>
          <w:rFonts w:hint="eastAsia" w:ascii="宋体" w:hAnsi="宋体" w:eastAsia="宋体" w:cs="宋体"/>
          <w:color w:val="auto"/>
          <w:highlight w:val="none"/>
        </w:rPr>
      </w:pPr>
    </w:p>
    <w:p>
      <w:pPr>
        <w:pStyle w:val="36"/>
        <w:shd w:val="clear" w:fill="FFFFFF" w:themeFill="background1"/>
        <w:spacing w:line="360" w:lineRule="exact"/>
        <w:rPr>
          <w:rFonts w:hint="eastAsia" w:ascii="宋体" w:hAnsi="宋体" w:eastAsia="宋体" w:cs="宋体"/>
          <w:color w:val="auto"/>
          <w:highlight w:val="none"/>
        </w:rPr>
      </w:pPr>
    </w:p>
    <w:p>
      <w:pPr>
        <w:pStyle w:val="36"/>
        <w:shd w:val="clear" w:fill="FFFFFF" w:themeFill="background1"/>
        <w:spacing w:line="360" w:lineRule="exact"/>
        <w:rPr>
          <w:rFonts w:hint="eastAsia" w:ascii="宋体" w:hAnsi="宋体" w:eastAsia="宋体" w:cs="宋体"/>
          <w:color w:val="auto"/>
          <w:highlight w:val="none"/>
        </w:rPr>
      </w:pPr>
    </w:p>
    <w:p>
      <w:pPr>
        <w:pStyle w:val="36"/>
        <w:shd w:val="clear" w:fill="FFFFFF" w:themeFill="background1"/>
        <w:spacing w:line="360" w:lineRule="exact"/>
        <w:rPr>
          <w:rFonts w:hint="eastAsia" w:ascii="宋体" w:hAnsi="宋体" w:eastAsia="宋体" w:cs="宋体"/>
          <w:color w:val="auto"/>
          <w:highlight w:val="none"/>
        </w:rPr>
      </w:pPr>
    </w:p>
    <w:p>
      <w:pPr>
        <w:pStyle w:val="36"/>
        <w:shd w:val="clear" w:fill="FFFFFF" w:themeFill="background1"/>
        <w:spacing w:line="360" w:lineRule="exact"/>
        <w:rPr>
          <w:rFonts w:hint="eastAsia" w:ascii="宋体" w:hAnsi="宋体" w:eastAsia="宋体" w:cs="宋体"/>
          <w:color w:val="auto"/>
          <w:highlight w:val="none"/>
        </w:rPr>
      </w:pPr>
    </w:p>
    <w:p>
      <w:pPr>
        <w:pStyle w:val="36"/>
        <w:shd w:val="clear" w:fill="FFFFFF" w:themeFill="background1"/>
        <w:spacing w:line="360" w:lineRule="exact"/>
        <w:rPr>
          <w:rFonts w:hint="eastAsia" w:ascii="宋体" w:hAnsi="宋体" w:eastAsia="宋体" w:cs="宋体"/>
          <w:color w:val="auto"/>
          <w:highlight w:val="none"/>
        </w:rPr>
      </w:pPr>
    </w:p>
    <w:p>
      <w:pPr>
        <w:pStyle w:val="36"/>
        <w:shd w:val="clear" w:fill="FFFFFF" w:themeFill="background1"/>
        <w:spacing w:line="360" w:lineRule="exact"/>
        <w:rPr>
          <w:rFonts w:hint="eastAsia" w:ascii="宋体" w:hAnsi="宋体" w:eastAsia="宋体" w:cs="宋体"/>
          <w:color w:val="auto"/>
          <w:highlight w:val="none"/>
        </w:rPr>
      </w:pPr>
    </w:p>
    <w:p>
      <w:pPr>
        <w:pStyle w:val="36"/>
        <w:shd w:val="clear" w:fill="FFFFFF" w:themeFill="background1"/>
        <w:spacing w:line="360" w:lineRule="exact"/>
        <w:rPr>
          <w:rFonts w:hint="eastAsia" w:ascii="宋体" w:hAnsi="宋体" w:eastAsia="宋体" w:cs="宋体"/>
          <w:color w:val="auto"/>
          <w:highlight w:val="none"/>
        </w:rPr>
      </w:pPr>
    </w:p>
    <w:p>
      <w:pPr>
        <w:pStyle w:val="36"/>
        <w:shd w:val="clear" w:fill="FFFFFF" w:themeFill="background1"/>
        <w:spacing w:line="360" w:lineRule="exact"/>
        <w:rPr>
          <w:rFonts w:hint="eastAsia" w:ascii="宋体" w:hAnsi="宋体" w:eastAsia="宋体" w:cs="宋体"/>
          <w:color w:val="auto"/>
          <w:highlight w:val="none"/>
        </w:rPr>
      </w:pPr>
    </w:p>
    <w:p>
      <w:pPr>
        <w:pStyle w:val="36"/>
        <w:shd w:val="clear" w:fill="FFFFFF" w:themeFill="background1"/>
        <w:spacing w:line="360" w:lineRule="exact"/>
        <w:rPr>
          <w:rFonts w:hint="eastAsia" w:ascii="宋体" w:hAnsi="宋体" w:eastAsia="宋体" w:cs="宋体"/>
          <w:color w:val="auto"/>
          <w:highlight w:val="none"/>
        </w:rPr>
      </w:pPr>
    </w:p>
    <w:p>
      <w:pPr>
        <w:shd w:val="clear" w:fill="FFFFFF" w:themeFill="background1"/>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bookmarkEnd w:id="386"/>
      <w:bookmarkEnd w:id="387"/>
      <w:bookmarkEnd w:id="388"/>
      <w:bookmarkEnd w:id="389"/>
      <w:bookmarkStart w:id="416" w:name="_Toc17601"/>
      <w:bookmarkStart w:id="417" w:name="_Toc152045782"/>
      <w:bookmarkStart w:id="418" w:name="_Toc247096438"/>
      <w:bookmarkStart w:id="419" w:name="_Toc368985792"/>
      <w:bookmarkStart w:id="420" w:name="_Toc247085866"/>
      <w:bookmarkStart w:id="421" w:name="_Toc296602596"/>
      <w:bookmarkStart w:id="422" w:name="_Toc144974851"/>
      <w:bookmarkStart w:id="423" w:name="_Toc246996350"/>
      <w:bookmarkStart w:id="424" w:name="_Toc246997093"/>
      <w:bookmarkStart w:id="425" w:name="_Toc179632800"/>
      <w:bookmarkStart w:id="426" w:name="_Toc24729_WPSOffice_Level1"/>
      <w:bookmarkStart w:id="427" w:name="_Toc152042571"/>
      <w:r>
        <w:rPr>
          <w:rFonts w:hint="eastAsia" w:ascii="宋体" w:hAnsi="宋体" w:eastAsia="宋体" w:cs="宋体"/>
          <w:b/>
          <w:color w:val="auto"/>
          <w:sz w:val="32"/>
          <w:szCs w:val="32"/>
          <w:highlight w:val="none"/>
        </w:rPr>
        <w:t>第六章  图  纸</w:t>
      </w:r>
      <w:bookmarkEnd w:id="416"/>
      <w:bookmarkEnd w:id="417"/>
      <w:bookmarkEnd w:id="418"/>
      <w:bookmarkEnd w:id="419"/>
      <w:bookmarkEnd w:id="420"/>
      <w:bookmarkEnd w:id="421"/>
      <w:bookmarkEnd w:id="422"/>
      <w:bookmarkEnd w:id="423"/>
      <w:bookmarkEnd w:id="424"/>
      <w:bookmarkEnd w:id="425"/>
      <w:bookmarkEnd w:id="426"/>
      <w:bookmarkEnd w:id="427"/>
    </w:p>
    <w:p>
      <w:pPr>
        <w:pStyle w:val="6"/>
        <w:keepNext w:val="0"/>
        <w:keepLines w:val="0"/>
        <w:shd w:val="clear" w:fill="FFFFFF" w:themeFill="background1"/>
        <w:rPr>
          <w:rFonts w:hint="eastAsia" w:ascii="宋体" w:hAnsi="宋体" w:eastAsia="宋体" w:cs="宋体"/>
          <w:b w:val="0"/>
          <w:color w:val="auto"/>
          <w:sz w:val="24"/>
          <w:szCs w:val="21"/>
          <w:highlight w:val="none"/>
        </w:rPr>
      </w:pPr>
      <w:bookmarkStart w:id="428" w:name="_Toc179632801"/>
      <w:bookmarkStart w:id="429" w:name="_Toc296602597"/>
      <w:bookmarkStart w:id="430" w:name="_Toc152042572"/>
      <w:bookmarkStart w:id="431" w:name="_Toc144974852"/>
      <w:bookmarkStart w:id="432" w:name="_Toc152045783"/>
      <w:bookmarkStart w:id="433" w:name="_Toc247085867"/>
      <w:bookmarkStart w:id="434" w:name="_Toc246996351"/>
      <w:bookmarkStart w:id="435" w:name="_Toc246997094"/>
      <w:bookmarkStart w:id="436" w:name="_Toc29731"/>
      <w:bookmarkStart w:id="437" w:name="_Toc24000"/>
      <w:r>
        <w:rPr>
          <w:rFonts w:hint="eastAsia" w:ascii="宋体" w:hAnsi="宋体" w:eastAsia="宋体" w:cs="宋体"/>
          <w:b w:val="0"/>
          <w:color w:val="auto"/>
          <w:sz w:val="24"/>
          <w:szCs w:val="21"/>
          <w:highlight w:val="none"/>
        </w:rPr>
        <w:t>1. 图纸目录</w:t>
      </w:r>
      <w:bookmarkEnd w:id="428"/>
      <w:bookmarkEnd w:id="429"/>
      <w:bookmarkEnd w:id="430"/>
      <w:bookmarkEnd w:id="431"/>
      <w:bookmarkEnd w:id="432"/>
      <w:bookmarkEnd w:id="433"/>
      <w:bookmarkEnd w:id="434"/>
      <w:bookmarkEnd w:id="435"/>
      <w:r>
        <w:rPr>
          <w:rFonts w:hint="eastAsia" w:ascii="宋体" w:hAnsi="宋体" w:eastAsia="宋体" w:cs="宋体"/>
          <w:b w:val="0"/>
          <w:color w:val="auto"/>
          <w:sz w:val="24"/>
          <w:szCs w:val="21"/>
          <w:highlight w:val="none"/>
        </w:rPr>
        <w:t>（详见招标图纸）</w:t>
      </w:r>
      <w:bookmarkEnd w:id="436"/>
      <w:bookmarkEnd w:id="437"/>
    </w:p>
    <w:p>
      <w:pPr>
        <w:pStyle w:val="6"/>
        <w:keepNext w:val="0"/>
        <w:keepLines w:val="0"/>
        <w:shd w:val="clear" w:fill="FFFFFF" w:themeFill="background1"/>
        <w:rPr>
          <w:rFonts w:hint="eastAsia" w:ascii="宋体" w:hAnsi="宋体" w:eastAsia="宋体" w:cs="宋体"/>
          <w:b w:val="0"/>
          <w:color w:val="auto"/>
          <w:sz w:val="24"/>
          <w:szCs w:val="21"/>
          <w:highlight w:val="none"/>
        </w:rPr>
      </w:pPr>
      <w:bookmarkStart w:id="438" w:name="_Toc144974853"/>
      <w:bookmarkStart w:id="439" w:name="_Toc8194"/>
      <w:bookmarkStart w:id="440" w:name="_Toc296602598"/>
      <w:bookmarkStart w:id="441" w:name="_Toc24577"/>
      <w:bookmarkStart w:id="442" w:name="_Toc152045784"/>
      <w:bookmarkStart w:id="443" w:name="_Toc246997095"/>
      <w:bookmarkStart w:id="444" w:name="_Toc152042573"/>
      <w:bookmarkStart w:id="445" w:name="_Toc179632802"/>
      <w:bookmarkStart w:id="446" w:name="_Toc246996352"/>
      <w:bookmarkStart w:id="447" w:name="_Toc247085868"/>
      <w:r>
        <w:rPr>
          <w:rFonts w:hint="eastAsia" w:ascii="宋体" w:hAnsi="宋体" w:eastAsia="宋体" w:cs="宋体"/>
          <w:b w:val="0"/>
          <w:color w:val="auto"/>
          <w:sz w:val="24"/>
          <w:szCs w:val="21"/>
          <w:highlight w:val="none"/>
        </w:rPr>
        <w:t>2. 图纸</w:t>
      </w:r>
      <w:bookmarkEnd w:id="438"/>
      <w:bookmarkEnd w:id="439"/>
      <w:bookmarkEnd w:id="440"/>
      <w:bookmarkEnd w:id="441"/>
      <w:bookmarkEnd w:id="442"/>
      <w:bookmarkEnd w:id="443"/>
      <w:bookmarkEnd w:id="444"/>
      <w:bookmarkEnd w:id="445"/>
      <w:bookmarkEnd w:id="446"/>
      <w:bookmarkEnd w:id="447"/>
    </w:p>
    <w:p>
      <w:pPr>
        <w:shd w:val="clear" w:fill="FFFFFF" w:themeFill="background1"/>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（随同招标文件发布，投标人自行下载）</w:t>
      </w:r>
    </w:p>
    <w:p>
      <w:pPr>
        <w:shd w:val="clear" w:fill="FFFFFF" w:themeFill="background1"/>
        <w:jc w:val="center"/>
        <w:rPr>
          <w:rFonts w:hint="eastAsia" w:ascii="宋体" w:hAnsi="宋体" w:eastAsia="宋体" w:cs="宋体"/>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24"/>
          <w:highlight w:val="none"/>
        </w:rPr>
      </w:pPr>
    </w:p>
    <w:p>
      <w:pPr>
        <w:shd w:val="clear" w:fill="FFFFFF" w:themeFill="background1"/>
        <w:spacing w:line="400" w:lineRule="exact"/>
        <w:rPr>
          <w:rFonts w:hint="eastAsia" w:ascii="宋体" w:hAnsi="宋体" w:eastAsia="宋体" w:cs="宋体"/>
          <w:b/>
          <w:bCs/>
          <w:color w:val="auto"/>
          <w:sz w:val="24"/>
          <w:highlight w:val="none"/>
        </w:rPr>
      </w:pPr>
      <w:bookmarkStart w:id="448" w:name="_Toc144974854"/>
      <w:bookmarkStart w:id="449" w:name="_Toc152045785"/>
      <w:bookmarkStart w:id="450" w:name="_Toc152042574"/>
    </w:p>
    <w:bookmarkEnd w:id="448"/>
    <w:bookmarkEnd w:id="449"/>
    <w:bookmarkEnd w:id="450"/>
    <w:p>
      <w:pPr>
        <w:shd w:val="clear" w:fill="FFFFFF" w:themeFill="background1"/>
        <w:jc w:val="center"/>
        <w:outlineLvl w:val="0"/>
        <w:rPr>
          <w:rFonts w:hint="eastAsia" w:ascii="宋体" w:hAnsi="宋体" w:eastAsia="宋体" w:cs="宋体"/>
          <w:b/>
          <w:color w:val="auto"/>
          <w:sz w:val="32"/>
          <w:szCs w:val="32"/>
          <w:highlight w:val="none"/>
        </w:rPr>
      </w:pPr>
      <w:bookmarkStart w:id="451" w:name="_Toc1604"/>
      <w:bookmarkStart w:id="452" w:name="_Toc8207"/>
      <w:bookmarkStart w:id="453" w:name="_Toc368985793"/>
      <w:r>
        <w:rPr>
          <w:rFonts w:hint="eastAsia" w:ascii="宋体" w:hAnsi="宋体" w:eastAsia="宋体" w:cs="宋体"/>
          <w:color w:val="auto"/>
          <w:sz w:val="28"/>
          <w:szCs w:val="28"/>
          <w:highlight w:val="none"/>
        </w:rPr>
        <w:br w:type="page"/>
      </w:r>
      <w:bookmarkStart w:id="454" w:name="_Toc31826_WPSOffice_Level1"/>
      <w:r>
        <w:rPr>
          <w:rFonts w:hint="eastAsia" w:ascii="宋体" w:hAnsi="宋体" w:eastAsia="宋体" w:cs="宋体"/>
          <w:b/>
          <w:color w:val="auto"/>
          <w:sz w:val="32"/>
          <w:szCs w:val="32"/>
          <w:highlight w:val="none"/>
        </w:rPr>
        <w:t>第七章 技术标准和要求</w:t>
      </w:r>
      <w:bookmarkEnd w:id="451"/>
      <w:bookmarkEnd w:id="452"/>
      <w:bookmarkEnd w:id="453"/>
      <w:bookmarkEnd w:id="454"/>
    </w:p>
    <w:p>
      <w:pPr>
        <w:pStyle w:val="6"/>
        <w:keepNext w:val="0"/>
        <w:keepLines w:val="0"/>
        <w:shd w:val="clear" w:fill="FFFFFF" w:themeFill="background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一、一般标准和技术规范</w:t>
      </w:r>
    </w:p>
    <w:p>
      <w:pPr>
        <w:pStyle w:val="6"/>
        <w:keepNext w:val="0"/>
        <w:keepLines w:val="0"/>
        <w:shd w:val="clear" w:fill="FFFFFF" w:themeFill="background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1.一般标准和技术规范</w:t>
      </w:r>
    </w:p>
    <w:p>
      <w:pPr>
        <w:pStyle w:val="6"/>
        <w:keepNext w:val="0"/>
        <w:keepLines w:val="0"/>
        <w:shd w:val="clear" w:fill="FFFFFF" w:themeFill="background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1.1本招标工程的材料、设备、施工必须符合现行国家、行业及工程所在地地方标准和技术规范的要求。</w:t>
      </w:r>
    </w:p>
    <w:p>
      <w:pPr>
        <w:pStyle w:val="6"/>
        <w:keepNext w:val="0"/>
        <w:keepLines w:val="0"/>
        <w:shd w:val="clear" w:fill="FFFFFF" w:themeFill="background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二、特殊标准和技术规范</w:t>
      </w:r>
    </w:p>
    <w:p>
      <w:pPr>
        <w:pStyle w:val="6"/>
        <w:keepNext w:val="0"/>
        <w:keepLines w:val="0"/>
        <w:shd w:val="clear" w:fill="FFFFFF" w:themeFill="background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2.特殊标准和技术规范</w:t>
      </w:r>
    </w:p>
    <w:p>
      <w:pPr>
        <w:pStyle w:val="6"/>
        <w:keepNext w:val="0"/>
        <w:keepLines w:val="0"/>
        <w:shd w:val="clear" w:fill="FFFFFF" w:themeFill="background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2.1根据设计要求，本招标工程中下列材料、设备、施工必须相应符合下列标准和技术规范的要求（列出特殊的材料、设备、施工及相应标准和技术规范名称）：</w:t>
      </w:r>
    </w:p>
    <w:p>
      <w:pPr>
        <w:shd w:val="clear" w:fill="FFFFFF" w:themeFill="background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                    </w:t>
      </w:r>
    </w:p>
    <w:p>
      <w:pPr>
        <w:pStyle w:val="6"/>
        <w:keepNext w:val="0"/>
        <w:keepLines w:val="0"/>
        <w:shd w:val="clear" w:fill="FFFFFF" w:themeFill="background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三、工程技术要求</w:t>
      </w:r>
    </w:p>
    <w:p>
      <w:pPr>
        <w:shd w:val="clear" w:fill="FFFFFF" w:themeFill="background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                    </w:t>
      </w:r>
    </w:p>
    <w:p>
      <w:pPr>
        <w:shd w:val="clear" w:fill="FFFFFF" w:themeFill="background1"/>
        <w:jc w:val="center"/>
        <w:outlineLvl w:val="0"/>
        <w:rPr>
          <w:rFonts w:hint="eastAsia" w:ascii="宋体" w:hAnsi="宋体" w:eastAsia="宋体" w:cs="宋体"/>
          <w:b/>
          <w:color w:val="auto"/>
          <w:sz w:val="32"/>
          <w:szCs w:val="32"/>
          <w:highlight w:val="none"/>
        </w:rPr>
      </w:pPr>
      <w:r>
        <w:rPr>
          <w:rFonts w:hint="eastAsia" w:ascii="宋体" w:hAnsi="宋体" w:eastAsia="宋体" w:cs="宋体"/>
          <w:b/>
          <w:bCs/>
          <w:color w:val="auto"/>
          <w:sz w:val="24"/>
          <w:szCs w:val="24"/>
          <w:highlight w:val="none"/>
        </w:rPr>
        <w:br w:type="page"/>
      </w:r>
      <w:bookmarkStart w:id="455" w:name="_Toc22279_WPSOffice_Level1"/>
      <w:bookmarkStart w:id="456" w:name="_Toc368985794"/>
      <w:r>
        <w:rPr>
          <w:rFonts w:hint="eastAsia" w:ascii="宋体" w:hAnsi="宋体" w:eastAsia="宋体" w:cs="宋体"/>
          <w:b/>
          <w:color w:val="auto"/>
          <w:sz w:val="32"/>
          <w:szCs w:val="32"/>
          <w:highlight w:val="none"/>
        </w:rPr>
        <w:t>第八章 投标文件格式</w:t>
      </w:r>
      <w:bookmarkEnd w:id="455"/>
      <w:bookmarkEnd w:id="456"/>
    </w:p>
    <w:p>
      <w:pPr>
        <w:shd w:val="clear" w:fill="FFFFFF" w:themeFill="background1"/>
        <w:jc w:val="center"/>
        <w:outlineLvl w:val="0"/>
        <w:rPr>
          <w:rFonts w:hint="eastAsia" w:ascii="宋体" w:hAnsi="宋体" w:eastAsia="宋体" w:cs="宋体"/>
          <w:b/>
          <w:color w:val="auto"/>
          <w:sz w:val="32"/>
          <w:szCs w:val="32"/>
          <w:highlight w:val="none"/>
        </w:rPr>
      </w:pPr>
    </w:p>
    <w:p>
      <w:pPr>
        <w:shd w:val="clear" w:fill="FFFFFF" w:themeFill="background1"/>
        <w:rPr>
          <w:rFonts w:hint="eastAsia" w:ascii="宋体" w:hAnsi="宋体" w:eastAsia="宋体" w:cs="宋体"/>
          <w:b/>
          <w:bCs/>
          <w:color w:val="auto"/>
          <w:sz w:val="24"/>
          <w:highlight w:val="none"/>
        </w:rPr>
      </w:pPr>
      <w:r>
        <w:rPr>
          <w:rFonts w:hint="eastAsia" w:ascii="宋体" w:hAnsi="宋体" w:eastAsia="宋体" w:cs="宋体"/>
          <w:b/>
          <w:bCs/>
          <w:color w:val="auto"/>
          <w:sz w:val="28"/>
          <w:szCs w:val="28"/>
          <w:highlight w:val="none"/>
        </w:rPr>
        <w:t>1、投标文件封面</w:t>
      </w:r>
    </w:p>
    <w:p>
      <w:pPr>
        <w:pStyle w:val="8"/>
        <w:shd w:val="clear" w:fill="FFFFFF" w:themeFill="background1"/>
        <w:ind w:firstLine="480"/>
        <w:rPr>
          <w:rFonts w:hint="eastAsia" w:ascii="宋体" w:hAnsi="宋体" w:eastAsia="宋体" w:cs="宋体"/>
          <w:color w:val="auto"/>
          <w:sz w:val="24"/>
          <w:highlight w:val="none"/>
        </w:rPr>
      </w:pPr>
    </w:p>
    <w:p>
      <w:pPr>
        <w:shd w:val="clear" w:fill="FFFFFF" w:themeFill="background1"/>
        <w:autoSpaceDE w:val="0"/>
        <w:autoSpaceDN w:val="0"/>
        <w:adjustRightInd w:val="0"/>
        <w:snapToGrid w:val="0"/>
        <w:spacing w:line="360" w:lineRule="auto"/>
        <w:jc w:val="center"/>
        <w:rPr>
          <w:rFonts w:hint="eastAsia" w:ascii="宋体" w:hAnsi="宋体" w:eastAsia="宋体" w:cs="宋体"/>
          <w:b/>
          <w:bCs/>
          <w:color w:val="auto"/>
          <w:spacing w:val="20"/>
          <w:kern w:val="0"/>
          <w:sz w:val="32"/>
          <w:szCs w:val="32"/>
          <w:highlight w:val="none"/>
          <w:u w:val="single"/>
        </w:rPr>
      </w:pPr>
      <w:r>
        <w:rPr>
          <w:rFonts w:hint="eastAsia" w:ascii="宋体" w:hAnsi="宋体" w:eastAsia="宋体" w:cs="宋体"/>
          <w:b/>
          <w:bCs/>
          <w:color w:val="auto"/>
          <w:spacing w:val="20"/>
          <w:kern w:val="0"/>
          <w:sz w:val="32"/>
          <w:szCs w:val="32"/>
          <w:highlight w:val="none"/>
          <w:u w:val="single"/>
        </w:rPr>
        <w:t xml:space="preserve">         </w:t>
      </w:r>
      <w:r>
        <w:rPr>
          <w:rFonts w:hint="eastAsia" w:ascii="宋体" w:hAnsi="宋体" w:eastAsia="宋体" w:cs="宋体"/>
          <w:b/>
          <w:bCs/>
          <w:color w:val="auto"/>
          <w:spacing w:val="20"/>
          <w:kern w:val="0"/>
          <w:sz w:val="32"/>
          <w:szCs w:val="32"/>
          <w:highlight w:val="none"/>
        </w:rPr>
        <w:t>（项目名称）施工</w:t>
      </w:r>
    </w:p>
    <w:p>
      <w:pPr>
        <w:shd w:val="clear" w:fill="FFFFFF" w:themeFill="background1"/>
        <w:autoSpaceDE w:val="0"/>
        <w:autoSpaceDN w:val="0"/>
        <w:adjustRightInd w:val="0"/>
        <w:snapToGrid w:val="0"/>
        <w:spacing w:line="360" w:lineRule="auto"/>
        <w:jc w:val="center"/>
        <w:rPr>
          <w:rFonts w:hint="eastAsia" w:ascii="宋体" w:hAnsi="宋体" w:eastAsia="宋体" w:cs="宋体"/>
          <w:b/>
          <w:bCs/>
          <w:color w:val="auto"/>
          <w:spacing w:val="20"/>
          <w:kern w:val="0"/>
          <w:sz w:val="84"/>
          <w:szCs w:val="84"/>
          <w:highlight w:val="none"/>
        </w:rPr>
      </w:pPr>
    </w:p>
    <w:p>
      <w:pPr>
        <w:shd w:val="clear" w:fill="FFFFFF" w:themeFill="background1"/>
        <w:autoSpaceDE w:val="0"/>
        <w:autoSpaceDN w:val="0"/>
        <w:adjustRightInd w:val="0"/>
        <w:snapToGrid w:val="0"/>
        <w:spacing w:line="360" w:lineRule="auto"/>
        <w:jc w:val="center"/>
        <w:rPr>
          <w:rFonts w:hint="eastAsia" w:ascii="宋体" w:hAnsi="宋体" w:eastAsia="宋体" w:cs="宋体"/>
          <w:b/>
          <w:bCs/>
          <w:color w:val="auto"/>
          <w:spacing w:val="20"/>
          <w:kern w:val="0"/>
          <w:sz w:val="72"/>
          <w:szCs w:val="72"/>
          <w:highlight w:val="none"/>
        </w:rPr>
      </w:pPr>
      <w:r>
        <w:rPr>
          <w:rFonts w:hint="eastAsia" w:ascii="宋体" w:hAnsi="宋体" w:eastAsia="宋体" w:cs="宋体"/>
          <w:b/>
          <w:bCs/>
          <w:color w:val="auto"/>
          <w:spacing w:val="20"/>
          <w:kern w:val="0"/>
          <w:sz w:val="72"/>
          <w:szCs w:val="72"/>
          <w:highlight w:val="none"/>
        </w:rPr>
        <w:t>投标文件</w:t>
      </w:r>
    </w:p>
    <w:p>
      <w:pPr>
        <w:shd w:val="clear" w:fill="FFFFFF" w:themeFill="background1"/>
        <w:autoSpaceDE w:val="0"/>
        <w:autoSpaceDN w:val="0"/>
        <w:adjustRightInd w:val="0"/>
        <w:snapToGrid w:val="0"/>
        <w:spacing w:line="360" w:lineRule="auto"/>
        <w:ind w:firstLine="2149" w:firstLineChars="595"/>
        <w:rPr>
          <w:rFonts w:hint="eastAsia" w:ascii="宋体" w:hAnsi="宋体" w:eastAsia="宋体" w:cs="宋体"/>
          <w:b/>
          <w:bCs/>
          <w:color w:val="auto"/>
          <w:spacing w:val="20"/>
          <w:kern w:val="0"/>
          <w:sz w:val="32"/>
          <w:szCs w:val="32"/>
          <w:highlight w:val="none"/>
        </w:rPr>
      </w:pPr>
      <w:r>
        <w:rPr>
          <w:rFonts w:hint="eastAsia" w:ascii="宋体" w:hAnsi="宋体" w:eastAsia="宋体" w:cs="宋体"/>
          <w:b/>
          <w:bCs/>
          <w:color w:val="auto"/>
          <w:spacing w:val="20"/>
          <w:kern w:val="0"/>
          <w:sz w:val="32"/>
          <w:szCs w:val="32"/>
          <w:highlight w:val="none"/>
        </w:rPr>
        <w:t>项目编号:</w:t>
      </w:r>
      <w:r>
        <w:rPr>
          <w:rFonts w:hint="eastAsia" w:ascii="宋体" w:hAnsi="宋体" w:eastAsia="宋体" w:cs="宋体"/>
          <w:b/>
          <w:bCs/>
          <w:color w:val="auto"/>
          <w:spacing w:val="20"/>
          <w:kern w:val="0"/>
          <w:sz w:val="32"/>
          <w:szCs w:val="32"/>
          <w:highlight w:val="none"/>
          <w:u w:val="single"/>
        </w:rPr>
        <w:t xml:space="preserve">                 </w:t>
      </w:r>
    </w:p>
    <w:p>
      <w:pPr>
        <w:shd w:val="clear" w:fill="FFFFFF" w:themeFill="background1"/>
        <w:autoSpaceDE w:val="0"/>
        <w:autoSpaceDN w:val="0"/>
        <w:adjustRightInd w:val="0"/>
        <w:snapToGrid w:val="0"/>
        <w:spacing w:line="360" w:lineRule="auto"/>
        <w:ind w:left="181" w:hanging="181" w:hangingChars="50"/>
        <w:jc w:val="right"/>
        <w:rPr>
          <w:rFonts w:hint="eastAsia" w:ascii="宋体" w:hAnsi="宋体" w:eastAsia="宋体" w:cs="宋体"/>
          <w:b/>
          <w:bCs/>
          <w:color w:val="auto"/>
          <w:spacing w:val="20"/>
          <w:kern w:val="0"/>
          <w:sz w:val="32"/>
          <w:szCs w:val="32"/>
          <w:highlight w:val="none"/>
        </w:rPr>
      </w:pPr>
    </w:p>
    <w:p>
      <w:pPr>
        <w:shd w:val="clear" w:fill="FFFFFF" w:themeFill="background1"/>
        <w:autoSpaceDE w:val="0"/>
        <w:autoSpaceDN w:val="0"/>
        <w:adjustRightInd w:val="0"/>
        <w:snapToGrid w:val="0"/>
        <w:spacing w:line="360" w:lineRule="auto"/>
        <w:ind w:left="181" w:hanging="181" w:hangingChars="50"/>
        <w:rPr>
          <w:rFonts w:hint="eastAsia" w:ascii="宋体" w:hAnsi="宋体" w:eastAsia="宋体" w:cs="宋体"/>
          <w:b/>
          <w:bCs/>
          <w:color w:val="auto"/>
          <w:spacing w:val="20"/>
          <w:kern w:val="0"/>
          <w:sz w:val="32"/>
          <w:szCs w:val="32"/>
          <w:highlight w:val="none"/>
        </w:rPr>
      </w:pPr>
    </w:p>
    <w:p>
      <w:pPr>
        <w:shd w:val="clear" w:fill="FFFFFF" w:themeFill="background1"/>
        <w:autoSpaceDE w:val="0"/>
        <w:autoSpaceDN w:val="0"/>
        <w:adjustRightInd w:val="0"/>
        <w:snapToGrid w:val="0"/>
        <w:spacing w:line="360" w:lineRule="auto"/>
        <w:ind w:left="181" w:hanging="181" w:hangingChars="50"/>
        <w:rPr>
          <w:rFonts w:hint="eastAsia" w:ascii="宋体" w:hAnsi="宋体" w:eastAsia="宋体" w:cs="宋体"/>
          <w:b/>
          <w:bCs/>
          <w:color w:val="auto"/>
          <w:spacing w:val="20"/>
          <w:kern w:val="0"/>
          <w:sz w:val="32"/>
          <w:szCs w:val="32"/>
          <w:highlight w:val="none"/>
        </w:rPr>
      </w:pPr>
    </w:p>
    <w:p>
      <w:pPr>
        <w:shd w:val="clear" w:fill="FFFFFF" w:themeFill="background1"/>
        <w:autoSpaceDE w:val="0"/>
        <w:autoSpaceDN w:val="0"/>
        <w:adjustRightInd w:val="0"/>
        <w:snapToGrid w:val="0"/>
        <w:spacing w:line="360" w:lineRule="auto"/>
        <w:ind w:left="181" w:hanging="181" w:hangingChars="50"/>
        <w:rPr>
          <w:rFonts w:hint="eastAsia" w:ascii="宋体" w:hAnsi="宋体" w:eastAsia="宋体" w:cs="宋体"/>
          <w:b/>
          <w:bCs/>
          <w:color w:val="auto"/>
          <w:spacing w:val="20"/>
          <w:kern w:val="0"/>
          <w:sz w:val="32"/>
          <w:szCs w:val="32"/>
          <w:highlight w:val="none"/>
        </w:rPr>
      </w:pPr>
    </w:p>
    <w:p>
      <w:pPr>
        <w:shd w:val="clear" w:fill="FFFFFF" w:themeFill="background1"/>
        <w:autoSpaceDE w:val="0"/>
        <w:autoSpaceDN w:val="0"/>
        <w:adjustRightInd w:val="0"/>
        <w:snapToGrid w:val="0"/>
        <w:spacing w:line="360" w:lineRule="auto"/>
        <w:ind w:left="181" w:hanging="181" w:hangingChars="50"/>
        <w:rPr>
          <w:rFonts w:hint="eastAsia" w:ascii="宋体" w:hAnsi="宋体" w:eastAsia="宋体" w:cs="宋体"/>
          <w:b/>
          <w:bCs/>
          <w:color w:val="auto"/>
          <w:spacing w:val="20"/>
          <w:kern w:val="0"/>
          <w:sz w:val="32"/>
          <w:szCs w:val="32"/>
          <w:highlight w:val="none"/>
        </w:rPr>
      </w:pPr>
    </w:p>
    <w:p>
      <w:pPr>
        <w:shd w:val="clear" w:fill="FFFFFF" w:themeFill="background1"/>
        <w:autoSpaceDE w:val="0"/>
        <w:autoSpaceDN w:val="0"/>
        <w:adjustRightInd w:val="0"/>
        <w:snapToGrid w:val="0"/>
        <w:spacing w:line="360" w:lineRule="auto"/>
        <w:ind w:left="183" w:leftChars="87" w:firstLine="535" w:firstLineChars="148"/>
        <w:jc w:val="left"/>
        <w:rPr>
          <w:rFonts w:hint="eastAsia" w:ascii="宋体" w:hAnsi="宋体" w:eastAsia="宋体" w:cs="宋体"/>
          <w:b/>
          <w:bCs/>
          <w:color w:val="auto"/>
          <w:sz w:val="32"/>
          <w:szCs w:val="32"/>
          <w:highlight w:val="none"/>
        </w:rPr>
      </w:pPr>
      <w:r>
        <w:rPr>
          <w:rFonts w:hint="eastAsia" w:ascii="宋体" w:hAnsi="宋体" w:eastAsia="宋体" w:cs="宋体"/>
          <w:b/>
          <w:bCs/>
          <w:color w:val="auto"/>
          <w:spacing w:val="20"/>
          <w:kern w:val="0"/>
          <w:sz w:val="32"/>
          <w:szCs w:val="32"/>
          <w:highlight w:val="none"/>
        </w:rPr>
        <w:t xml:space="preserve">  投 标 人：</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（盖单位章）</w:t>
      </w:r>
    </w:p>
    <w:p>
      <w:pPr>
        <w:shd w:val="clear" w:fill="FFFFFF" w:themeFill="background1"/>
        <w:autoSpaceDE w:val="0"/>
        <w:autoSpaceDN w:val="0"/>
        <w:adjustRightInd w:val="0"/>
        <w:snapToGrid w:val="0"/>
        <w:spacing w:line="360" w:lineRule="auto"/>
        <w:ind w:left="183" w:leftChars="87" w:firstLine="535" w:firstLineChars="148"/>
        <w:jc w:val="left"/>
        <w:rPr>
          <w:rFonts w:hint="eastAsia" w:ascii="宋体" w:hAnsi="宋体" w:eastAsia="宋体" w:cs="宋体"/>
          <w:b/>
          <w:bCs/>
          <w:color w:val="auto"/>
          <w:spacing w:val="20"/>
          <w:kern w:val="0"/>
          <w:sz w:val="32"/>
          <w:szCs w:val="32"/>
          <w:highlight w:val="none"/>
        </w:rPr>
      </w:pPr>
      <w:r>
        <w:rPr>
          <w:rFonts w:hint="eastAsia" w:ascii="宋体" w:hAnsi="宋体" w:eastAsia="宋体" w:cs="宋体"/>
          <w:b/>
          <w:bCs/>
          <w:color w:val="auto"/>
          <w:spacing w:val="20"/>
          <w:kern w:val="0"/>
          <w:sz w:val="32"/>
          <w:szCs w:val="32"/>
          <w:highlight w:val="none"/>
        </w:rPr>
        <w:t xml:space="preserve">  法定代表人</w:t>
      </w:r>
    </w:p>
    <w:p>
      <w:pPr>
        <w:shd w:val="clear" w:fill="FFFFFF" w:themeFill="background1"/>
        <w:autoSpaceDE w:val="0"/>
        <w:autoSpaceDN w:val="0"/>
        <w:adjustRightInd w:val="0"/>
        <w:snapToGrid w:val="0"/>
        <w:spacing w:line="360" w:lineRule="auto"/>
        <w:ind w:left="183" w:leftChars="87" w:firstLine="892" w:firstLineChars="247"/>
        <w:jc w:val="left"/>
        <w:rPr>
          <w:rFonts w:hint="eastAsia" w:ascii="宋体" w:hAnsi="宋体" w:eastAsia="宋体" w:cs="宋体"/>
          <w:b/>
          <w:bCs/>
          <w:color w:val="auto"/>
          <w:sz w:val="32"/>
          <w:szCs w:val="32"/>
          <w:highlight w:val="none"/>
        </w:rPr>
      </w:pPr>
      <w:r>
        <w:rPr>
          <w:rFonts w:hint="eastAsia" w:ascii="宋体" w:hAnsi="宋体" w:eastAsia="宋体" w:cs="宋体"/>
          <w:b/>
          <w:bCs/>
          <w:color w:val="auto"/>
          <w:spacing w:val="20"/>
          <w:kern w:val="0"/>
          <w:sz w:val="32"/>
          <w:szCs w:val="32"/>
          <w:highlight w:val="none"/>
        </w:rPr>
        <w:t>或其委托代理人：</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（签字或盖章）</w:t>
      </w:r>
    </w:p>
    <w:p>
      <w:pPr>
        <w:shd w:val="clear" w:fill="FFFFFF" w:themeFill="background1"/>
        <w:jc w:val="center"/>
        <w:rPr>
          <w:rFonts w:hint="eastAsia" w:ascii="宋体" w:hAnsi="宋体" w:eastAsia="宋体" w:cs="宋体"/>
          <w:b/>
          <w:bCs/>
          <w:color w:val="auto"/>
          <w:spacing w:val="20"/>
          <w:kern w:val="0"/>
          <w:sz w:val="32"/>
          <w:szCs w:val="32"/>
          <w:highlight w:val="none"/>
          <w:u w:val="single"/>
        </w:rPr>
      </w:pPr>
    </w:p>
    <w:p>
      <w:pPr>
        <w:shd w:val="clear" w:fill="FFFFFF" w:themeFill="background1"/>
        <w:jc w:val="center"/>
        <w:rPr>
          <w:rFonts w:hint="eastAsia" w:ascii="宋体" w:hAnsi="宋体" w:eastAsia="宋体" w:cs="宋体"/>
          <w:b/>
          <w:bCs/>
          <w:color w:val="auto"/>
          <w:spacing w:val="20"/>
          <w:kern w:val="0"/>
          <w:sz w:val="32"/>
          <w:szCs w:val="32"/>
          <w:highlight w:val="none"/>
        </w:rPr>
      </w:pPr>
      <w:r>
        <w:rPr>
          <w:rFonts w:hint="eastAsia" w:ascii="宋体" w:hAnsi="宋体" w:eastAsia="宋体" w:cs="宋体"/>
          <w:b/>
          <w:bCs/>
          <w:color w:val="auto"/>
          <w:spacing w:val="20"/>
          <w:kern w:val="0"/>
          <w:sz w:val="32"/>
          <w:szCs w:val="32"/>
          <w:highlight w:val="none"/>
          <w:u w:val="single"/>
        </w:rPr>
        <w:t xml:space="preserve">     </w:t>
      </w:r>
      <w:r>
        <w:rPr>
          <w:rFonts w:hint="eastAsia" w:ascii="宋体" w:hAnsi="宋体" w:eastAsia="宋体" w:cs="宋体"/>
          <w:b/>
          <w:bCs/>
          <w:color w:val="auto"/>
          <w:spacing w:val="20"/>
          <w:kern w:val="0"/>
          <w:sz w:val="32"/>
          <w:szCs w:val="32"/>
          <w:highlight w:val="none"/>
        </w:rPr>
        <w:t>年</w:t>
      </w:r>
      <w:r>
        <w:rPr>
          <w:rFonts w:hint="eastAsia" w:ascii="宋体" w:hAnsi="宋体" w:eastAsia="宋体" w:cs="宋体"/>
          <w:b/>
          <w:bCs/>
          <w:color w:val="auto"/>
          <w:spacing w:val="20"/>
          <w:kern w:val="0"/>
          <w:sz w:val="32"/>
          <w:szCs w:val="32"/>
          <w:highlight w:val="none"/>
          <w:u w:val="single"/>
        </w:rPr>
        <w:t xml:space="preserve">     </w:t>
      </w:r>
      <w:r>
        <w:rPr>
          <w:rFonts w:hint="eastAsia" w:ascii="宋体" w:hAnsi="宋体" w:eastAsia="宋体" w:cs="宋体"/>
          <w:b/>
          <w:bCs/>
          <w:color w:val="auto"/>
          <w:spacing w:val="20"/>
          <w:kern w:val="0"/>
          <w:sz w:val="32"/>
          <w:szCs w:val="32"/>
          <w:highlight w:val="none"/>
        </w:rPr>
        <w:t>月</w:t>
      </w:r>
      <w:r>
        <w:rPr>
          <w:rFonts w:hint="eastAsia" w:ascii="宋体" w:hAnsi="宋体" w:eastAsia="宋体" w:cs="宋体"/>
          <w:b/>
          <w:bCs/>
          <w:color w:val="auto"/>
          <w:spacing w:val="20"/>
          <w:kern w:val="0"/>
          <w:sz w:val="32"/>
          <w:szCs w:val="32"/>
          <w:highlight w:val="none"/>
          <w:u w:val="single"/>
        </w:rPr>
        <w:t xml:space="preserve">    </w:t>
      </w:r>
      <w:r>
        <w:rPr>
          <w:rFonts w:hint="eastAsia" w:ascii="宋体" w:hAnsi="宋体" w:eastAsia="宋体" w:cs="宋体"/>
          <w:b/>
          <w:bCs/>
          <w:color w:val="auto"/>
          <w:spacing w:val="20"/>
          <w:kern w:val="0"/>
          <w:sz w:val="32"/>
          <w:szCs w:val="32"/>
          <w:highlight w:val="none"/>
        </w:rPr>
        <w:t>日</w:t>
      </w:r>
    </w:p>
    <w:p>
      <w:pPr>
        <w:shd w:val="clear" w:fill="FFFFFF" w:themeFill="background1"/>
        <w:jc w:val="center"/>
        <w:rPr>
          <w:rFonts w:hint="eastAsia" w:ascii="宋体" w:hAnsi="宋体" w:eastAsia="宋体" w:cs="宋体"/>
          <w:b/>
          <w:bCs/>
          <w:color w:val="auto"/>
          <w:spacing w:val="20"/>
          <w:kern w:val="0"/>
          <w:sz w:val="32"/>
          <w:szCs w:val="32"/>
          <w:highlight w:val="none"/>
        </w:rPr>
      </w:pPr>
    </w:p>
    <w:p>
      <w:pPr>
        <w:shd w:val="clear" w:fill="FFFFFF" w:themeFill="background1"/>
        <w:jc w:val="center"/>
        <w:rPr>
          <w:rFonts w:hint="eastAsia" w:ascii="宋体" w:hAnsi="宋体" w:eastAsia="宋体" w:cs="宋体"/>
          <w:b/>
          <w:bCs/>
          <w:color w:val="auto"/>
          <w:spacing w:val="20"/>
          <w:kern w:val="0"/>
          <w:sz w:val="32"/>
          <w:szCs w:val="32"/>
          <w:highlight w:val="none"/>
        </w:rPr>
      </w:pPr>
    </w:p>
    <w:p>
      <w:pPr>
        <w:shd w:val="clear" w:fill="FFFFFF" w:themeFill="background1"/>
        <w:jc w:val="center"/>
        <w:rPr>
          <w:rFonts w:hint="eastAsia" w:ascii="宋体" w:hAnsi="宋体" w:eastAsia="宋体" w:cs="宋体"/>
          <w:b/>
          <w:bCs/>
          <w:color w:val="auto"/>
          <w:spacing w:val="20"/>
          <w:kern w:val="0"/>
          <w:sz w:val="32"/>
          <w:szCs w:val="32"/>
          <w:highlight w:val="none"/>
        </w:rPr>
      </w:pPr>
    </w:p>
    <w:p>
      <w:pPr>
        <w:shd w:val="clear" w:fill="FFFFFF" w:themeFill="background1"/>
        <w:jc w:val="left"/>
        <w:rPr>
          <w:rFonts w:hint="eastAsia" w:ascii="宋体" w:hAnsi="宋体" w:eastAsia="宋体" w:cs="宋体"/>
          <w:b/>
          <w:bCs/>
          <w:color w:val="auto"/>
          <w:spacing w:val="20"/>
          <w:kern w:val="0"/>
          <w:sz w:val="32"/>
          <w:szCs w:val="32"/>
          <w:highlight w:val="none"/>
        </w:rPr>
      </w:pPr>
      <w:r>
        <w:rPr>
          <w:rFonts w:hint="eastAsia" w:ascii="宋体" w:hAnsi="宋体" w:eastAsia="宋体" w:cs="宋体"/>
          <w:b/>
          <w:bCs/>
          <w:color w:val="auto"/>
          <w:spacing w:val="20"/>
          <w:kern w:val="0"/>
          <w:sz w:val="32"/>
          <w:szCs w:val="32"/>
          <w:highlight w:val="none"/>
        </w:rPr>
        <w:t>2、目录</w:t>
      </w:r>
    </w:p>
    <w:p>
      <w:pPr>
        <w:shd w:val="clear" w:fill="FFFFFF" w:themeFill="background1"/>
        <w:jc w:val="center"/>
        <w:rPr>
          <w:rFonts w:hint="eastAsia" w:ascii="宋体" w:hAnsi="宋体" w:eastAsia="宋体" w:cs="宋体"/>
          <w:b/>
          <w:bCs/>
          <w:color w:val="auto"/>
          <w:spacing w:val="20"/>
          <w:kern w:val="0"/>
          <w:sz w:val="32"/>
          <w:szCs w:val="32"/>
          <w:highlight w:val="none"/>
        </w:rPr>
      </w:pPr>
    </w:p>
    <w:p>
      <w:pPr>
        <w:shd w:val="clear" w:fill="FFFFFF" w:themeFill="background1"/>
        <w:jc w:val="left"/>
        <w:rPr>
          <w:rFonts w:hint="eastAsia" w:ascii="宋体" w:hAnsi="宋体" w:eastAsia="宋体" w:cs="宋体"/>
          <w:b/>
          <w:bCs/>
          <w:color w:val="auto"/>
          <w:spacing w:val="20"/>
          <w:kern w:val="0"/>
          <w:sz w:val="32"/>
          <w:szCs w:val="32"/>
          <w:highlight w:val="none"/>
        </w:rPr>
      </w:pPr>
      <w:r>
        <w:rPr>
          <w:rFonts w:hint="eastAsia" w:ascii="宋体" w:hAnsi="宋体" w:eastAsia="宋体" w:cs="宋体"/>
          <w:b/>
          <w:bCs/>
          <w:color w:val="auto"/>
          <w:spacing w:val="20"/>
          <w:kern w:val="0"/>
          <w:sz w:val="32"/>
          <w:szCs w:val="32"/>
          <w:highlight w:val="none"/>
        </w:rPr>
        <w:t>2.1投标函（含投标人诚信承诺书）</w:t>
      </w:r>
    </w:p>
    <w:p>
      <w:pPr>
        <w:shd w:val="clear" w:fill="FFFFFF" w:themeFill="background1"/>
        <w:jc w:val="left"/>
        <w:rPr>
          <w:rFonts w:hint="eastAsia" w:ascii="宋体" w:hAnsi="宋体" w:eastAsia="宋体" w:cs="宋体"/>
          <w:b/>
          <w:bCs/>
          <w:color w:val="auto"/>
          <w:spacing w:val="20"/>
          <w:kern w:val="0"/>
          <w:sz w:val="32"/>
          <w:szCs w:val="32"/>
          <w:highlight w:val="none"/>
        </w:rPr>
      </w:pPr>
      <w:r>
        <w:rPr>
          <w:rFonts w:hint="eastAsia" w:ascii="宋体" w:hAnsi="宋体" w:eastAsia="宋体" w:cs="宋体"/>
          <w:b/>
          <w:bCs/>
          <w:color w:val="auto"/>
          <w:spacing w:val="20"/>
          <w:kern w:val="0"/>
          <w:sz w:val="32"/>
          <w:szCs w:val="32"/>
          <w:highlight w:val="none"/>
        </w:rPr>
        <w:t>2.2法定代表人身份证明或授权委托书（如有授权）</w:t>
      </w:r>
    </w:p>
    <w:p>
      <w:pPr>
        <w:shd w:val="clear" w:fill="FFFFFF" w:themeFill="background1"/>
        <w:jc w:val="left"/>
        <w:rPr>
          <w:rFonts w:hint="eastAsia" w:ascii="宋体" w:hAnsi="宋体" w:eastAsia="宋体" w:cs="宋体"/>
          <w:b/>
          <w:bCs/>
          <w:color w:val="auto"/>
          <w:spacing w:val="20"/>
          <w:kern w:val="0"/>
          <w:sz w:val="32"/>
          <w:szCs w:val="32"/>
          <w:highlight w:val="none"/>
        </w:rPr>
      </w:pPr>
      <w:r>
        <w:rPr>
          <w:rFonts w:hint="eastAsia" w:ascii="宋体" w:hAnsi="宋体" w:eastAsia="宋体" w:cs="宋体"/>
          <w:b/>
          <w:bCs/>
          <w:color w:val="auto"/>
          <w:spacing w:val="20"/>
          <w:kern w:val="0"/>
          <w:sz w:val="32"/>
          <w:szCs w:val="32"/>
          <w:highlight w:val="none"/>
        </w:rPr>
        <w:t>2.3联合体协议书（如有联合体投标）</w:t>
      </w:r>
    </w:p>
    <w:p>
      <w:pPr>
        <w:shd w:val="clear" w:fill="FFFFFF" w:themeFill="background1"/>
        <w:jc w:val="left"/>
        <w:rPr>
          <w:rFonts w:hint="eastAsia" w:ascii="宋体" w:hAnsi="宋体" w:eastAsia="宋体" w:cs="宋体"/>
          <w:b/>
          <w:bCs/>
          <w:color w:val="auto"/>
          <w:spacing w:val="20"/>
          <w:kern w:val="0"/>
          <w:sz w:val="32"/>
          <w:szCs w:val="32"/>
          <w:highlight w:val="none"/>
        </w:rPr>
      </w:pPr>
      <w:r>
        <w:rPr>
          <w:rFonts w:hint="eastAsia" w:ascii="宋体" w:hAnsi="宋体" w:eastAsia="宋体" w:cs="宋体"/>
          <w:b/>
          <w:bCs/>
          <w:color w:val="auto"/>
          <w:spacing w:val="20"/>
          <w:kern w:val="0"/>
          <w:sz w:val="32"/>
          <w:szCs w:val="32"/>
          <w:highlight w:val="none"/>
        </w:rPr>
        <w:t>2.4投标保证金</w:t>
      </w:r>
    </w:p>
    <w:p>
      <w:pPr>
        <w:shd w:val="clear" w:fill="FFFFFF" w:themeFill="background1"/>
        <w:jc w:val="left"/>
        <w:rPr>
          <w:rFonts w:hint="eastAsia" w:ascii="宋体" w:hAnsi="宋体" w:eastAsia="宋体" w:cs="宋体"/>
          <w:b/>
          <w:bCs/>
          <w:color w:val="auto"/>
          <w:spacing w:val="20"/>
          <w:kern w:val="0"/>
          <w:sz w:val="32"/>
          <w:szCs w:val="32"/>
          <w:highlight w:val="none"/>
        </w:rPr>
      </w:pPr>
      <w:r>
        <w:rPr>
          <w:rFonts w:hint="eastAsia" w:ascii="宋体" w:hAnsi="宋体" w:eastAsia="宋体" w:cs="宋体"/>
          <w:b/>
          <w:bCs/>
          <w:color w:val="auto"/>
          <w:spacing w:val="20"/>
          <w:kern w:val="0"/>
          <w:sz w:val="32"/>
          <w:szCs w:val="32"/>
          <w:highlight w:val="none"/>
        </w:rPr>
        <w:t>2.5投标报价表</w:t>
      </w:r>
    </w:p>
    <w:p>
      <w:pPr>
        <w:shd w:val="clear" w:fill="FFFFFF" w:themeFill="background1"/>
        <w:jc w:val="left"/>
        <w:rPr>
          <w:rFonts w:hint="eastAsia" w:ascii="宋体" w:hAnsi="宋体" w:eastAsia="宋体" w:cs="宋体"/>
          <w:b/>
          <w:bCs/>
          <w:color w:val="auto"/>
          <w:spacing w:val="20"/>
          <w:kern w:val="0"/>
          <w:sz w:val="32"/>
          <w:szCs w:val="32"/>
          <w:highlight w:val="none"/>
        </w:rPr>
      </w:pPr>
      <w:r>
        <w:rPr>
          <w:rFonts w:hint="eastAsia" w:ascii="宋体" w:hAnsi="宋体" w:eastAsia="宋体" w:cs="宋体"/>
          <w:b/>
          <w:bCs/>
          <w:color w:val="auto"/>
          <w:spacing w:val="20"/>
          <w:kern w:val="0"/>
          <w:sz w:val="32"/>
          <w:szCs w:val="32"/>
          <w:highlight w:val="none"/>
        </w:rPr>
        <w:t>2.6项目管理机构</w:t>
      </w:r>
    </w:p>
    <w:p>
      <w:pPr>
        <w:shd w:val="clear" w:fill="FFFFFF" w:themeFill="background1"/>
        <w:jc w:val="left"/>
        <w:rPr>
          <w:rFonts w:hint="eastAsia" w:ascii="宋体" w:hAnsi="宋体" w:eastAsia="宋体" w:cs="宋体"/>
          <w:b/>
          <w:bCs/>
          <w:color w:val="auto"/>
          <w:spacing w:val="20"/>
          <w:kern w:val="0"/>
          <w:sz w:val="32"/>
          <w:szCs w:val="32"/>
          <w:highlight w:val="none"/>
        </w:rPr>
      </w:pPr>
      <w:r>
        <w:rPr>
          <w:rFonts w:hint="eastAsia" w:ascii="宋体" w:hAnsi="宋体" w:eastAsia="宋体" w:cs="宋体"/>
          <w:b/>
          <w:bCs/>
          <w:color w:val="auto"/>
          <w:spacing w:val="20"/>
          <w:kern w:val="0"/>
          <w:sz w:val="32"/>
          <w:szCs w:val="32"/>
          <w:highlight w:val="none"/>
        </w:rPr>
        <w:t>2.7拟分包项目情况表（如允许分包）</w:t>
      </w:r>
    </w:p>
    <w:p>
      <w:pPr>
        <w:shd w:val="clear" w:fill="FFFFFF" w:themeFill="background1"/>
        <w:jc w:val="left"/>
        <w:rPr>
          <w:rFonts w:hint="eastAsia" w:ascii="宋体" w:hAnsi="宋体" w:eastAsia="宋体" w:cs="宋体"/>
          <w:b/>
          <w:bCs/>
          <w:color w:val="auto"/>
          <w:spacing w:val="20"/>
          <w:kern w:val="0"/>
          <w:sz w:val="32"/>
          <w:szCs w:val="32"/>
          <w:highlight w:val="none"/>
        </w:rPr>
      </w:pPr>
      <w:r>
        <w:rPr>
          <w:rFonts w:hint="eastAsia" w:ascii="宋体" w:hAnsi="宋体" w:eastAsia="宋体" w:cs="宋体"/>
          <w:b/>
          <w:bCs/>
          <w:color w:val="auto"/>
          <w:spacing w:val="20"/>
          <w:kern w:val="0"/>
          <w:sz w:val="32"/>
          <w:szCs w:val="32"/>
          <w:highlight w:val="none"/>
        </w:rPr>
        <w:t>2.8资格审查资料</w:t>
      </w:r>
    </w:p>
    <w:p>
      <w:pPr>
        <w:shd w:val="clear" w:fill="FFFFFF" w:themeFill="background1"/>
        <w:jc w:val="left"/>
        <w:rPr>
          <w:rFonts w:hint="eastAsia" w:ascii="宋体" w:hAnsi="宋体" w:eastAsia="宋体" w:cs="宋体"/>
          <w:b/>
          <w:bCs/>
          <w:color w:val="auto"/>
          <w:spacing w:val="20"/>
          <w:kern w:val="0"/>
          <w:sz w:val="32"/>
          <w:szCs w:val="32"/>
          <w:highlight w:val="none"/>
        </w:rPr>
      </w:pPr>
      <w:r>
        <w:rPr>
          <w:rFonts w:hint="eastAsia" w:ascii="宋体" w:hAnsi="宋体" w:eastAsia="宋体" w:cs="宋体"/>
          <w:b/>
          <w:bCs/>
          <w:color w:val="auto"/>
          <w:spacing w:val="20"/>
          <w:kern w:val="0"/>
          <w:sz w:val="32"/>
          <w:szCs w:val="32"/>
          <w:highlight w:val="none"/>
        </w:rPr>
        <w:t>2.9投标人须知前附表规定的其它材料</w:t>
      </w:r>
    </w:p>
    <w:p>
      <w:pPr>
        <w:shd w:val="clear" w:fill="FFFFFF" w:themeFill="background1"/>
        <w:rPr>
          <w:rFonts w:hint="eastAsia" w:ascii="宋体" w:hAnsi="宋体" w:eastAsia="宋体" w:cs="宋体"/>
          <w:b/>
          <w:bCs/>
          <w:color w:val="auto"/>
          <w:sz w:val="24"/>
          <w:highlight w:val="none"/>
        </w:rPr>
      </w:pPr>
      <w:r>
        <w:rPr>
          <w:rFonts w:hint="eastAsia" w:ascii="宋体" w:hAnsi="宋体" w:eastAsia="宋体" w:cs="宋体"/>
          <w:b/>
          <w:bCs/>
          <w:color w:val="auto"/>
          <w:spacing w:val="20"/>
          <w:kern w:val="0"/>
          <w:sz w:val="32"/>
          <w:szCs w:val="32"/>
          <w:highlight w:val="none"/>
        </w:rPr>
        <w:t xml:space="preserve"> </w:t>
      </w:r>
    </w:p>
    <w:p>
      <w:pPr>
        <w:shd w:val="clear" w:fill="FFFFFF" w:themeFill="background1"/>
        <w:rPr>
          <w:rFonts w:hint="eastAsia" w:ascii="宋体" w:hAnsi="宋体" w:eastAsia="宋体" w:cs="宋体"/>
          <w:b/>
          <w:bCs/>
          <w:color w:val="auto"/>
          <w:sz w:val="24"/>
          <w:highlight w:val="none"/>
        </w:rPr>
      </w:pPr>
    </w:p>
    <w:p>
      <w:pPr>
        <w:shd w:val="clear" w:fill="FFFFFF" w:themeFill="background1"/>
        <w:rPr>
          <w:rFonts w:hint="eastAsia" w:ascii="宋体" w:hAnsi="宋体" w:eastAsia="宋体" w:cs="宋体"/>
          <w:b/>
          <w:bCs/>
          <w:color w:val="auto"/>
          <w:sz w:val="24"/>
          <w:highlight w:val="none"/>
        </w:rPr>
      </w:pPr>
    </w:p>
    <w:p>
      <w:pPr>
        <w:shd w:val="clear" w:fill="FFFFFF" w:themeFill="background1"/>
        <w:rPr>
          <w:rFonts w:hint="eastAsia" w:ascii="宋体" w:hAnsi="宋体" w:eastAsia="宋体" w:cs="宋体"/>
          <w:b/>
          <w:bCs/>
          <w:color w:val="auto"/>
          <w:sz w:val="24"/>
          <w:highlight w:val="none"/>
        </w:rPr>
      </w:pPr>
    </w:p>
    <w:p>
      <w:pPr>
        <w:shd w:val="clear" w:fill="FFFFFF" w:themeFill="background1"/>
        <w:rPr>
          <w:rFonts w:hint="eastAsia" w:ascii="宋体" w:hAnsi="宋体" w:eastAsia="宋体" w:cs="宋体"/>
          <w:b/>
          <w:bCs/>
          <w:color w:val="auto"/>
          <w:sz w:val="24"/>
          <w:highlight w:val="none"/>
        </w:rPr>
      </w:pPr>
    </w:p>
    <w:p>
      <w:pPr>
        <w:shd w:val="clear" w:fill="FFFFFF" w:themeFill="background1"/>
        <w:rPr>
          <w:rFonts w:hint="eastAsia" w:ascii="宋体" w:hAnsi="宋体" w:eastAsia="宋体" w:cs="宋体"/>
          <w:b/>
          <w:bCs/>
          <w:color w:val="auto"/>
          <w:sz w:val="24"/>
          <w:highlight w:val="none"/>
        </w:rPr>
      </w:pPr>
    </w:p>
    <w:p>
      <w:pPr>
        <w:shd w:val="clear" w:fill="FFFFFF" w:themeFill="background1"/>
        <w:rPr>
          <w:rFonts w:hint="eastAsia" w:ascii="宋体" w:hAnsi="宋体" w:eastAsia="宋体" w:cs="宋体"/>
          <w:b/>
          <w:bCs/>
          <w:color w:val="auto"/>
          <w:sz w:val="24"/>
          <w:highlight w:val="none"/>
        </w:rPr>
      </w:pPr>
    </w:p>
    <w:p>
      <w:pPr>
        <w:shd w:val="clear" w:fill="FFFFFF" w:themeFill="background1"/>
        <w:rPr>
          <w:rFonts w:hint="eastAsia" w:ascii="宋体" w:hAnsi="宋体" w:eastAsia="宋体" w:cs="宋体"/>
          <w:b/>
          <w:bCs/>
          <w:color w:val="auto"/>
          <w:sz w:val="24"/>
          <w:highlight w:val="none"/>
        </w:rPr>
      </w:pPr>
    </w:p>
    <w:p>
      <w:pPr>
        <w:shd w:val="clear" w:fill="FFFFFF" w:themeFill="background1"/>
        <w:rPr>
          <w:rFonts w:hint="eastAsia" w:ascii="宋体" w:hAnsi="宋体" w:eastAsia="宋体" w:cs="宋体"/>
          <w:b/>
          <w:bCs/>
          <w:color w:val="auto"/>
          <w:sz w:val="24"/>
          <w:highlight w:val="none"/>
        </w:rPr>
      </w:pPr>
    </w:p>
    <w:p>
      <w:pPr>
        <w:shd w:val="clear" w:fill="FFFFFF" w:themeFill="background1"/>
        <w:rPr>
          <w:rFonts w:hint="eastAsia" w:ascii="宋体" w:hAnsi="宋体" w:eastAsia="宋体" w:cs="宋体"/>
          <w:b/>
          <w:bCs/>
          <w:color w:val="auto"/>
          <w:sz w:val="24"/>
          <w:highlight w:val="none"/>
        </w:rPr>
      </w:pPr>
    </w:p>
    <w:p>
      <w:pPr>
        <w:shd w:val="clear" w:fill="FFFFFF" w:themeFill="background1"/>
        <w:rPr>
          <w:rFonts w:hint="eastAsia" w:ascii="宋体" w:hAnsi="宋体" w:eastAsia="宋体" w:cs="宋体"/>
          <w:b/>
          <w:bCs/>
          <w:color w:val="auto"/>
          <w:sz w:val="24"/>
          <w:highlight w:val="none"/>
        </w:rPr>
      </w:pPr>
    </w:p>
    <w:p>
      <w:pPr>
        <w:shd w:val="clear" w:fill="FFFFFF" w:themeFill="background1"/>
        <w:rPr>
          <w:rFonts w:hint="eastAsia" w:ascii="宋体" w:hAnsi="宋体" w:eastAsia="宋体" w:cs="宋体"/>
          <w:b/>
          <w:bCs/>
          <w:color w:val="auto"/>
          <w:sz w:val="24"/>
          <w:highlight w:val="none"/>
        </w:rPr>
      </w:pPr>
    </w:p>
    <w:p>
      <w:pPr>
        <w:shd w:val="clear" w:fill="FFFFFF" w:themeFill="background1"/>
        <w:rPr>
          <w:rFonts w:hint="eastAsia" w:ascii="宋体" w:hAnsi="宋体" w:eastAsia="宋体" w:cs="宋体"/>
          <w:b/>
          <w:bCs/>
          <w:color w:val="auto"/>
          <w:sz w:val="24"/>
          <w:highlight w:val="none"/>
        </w:rPr>
      </w:pPr>
    </w:p>
    <w:p>
      <w:pPr>
        <w:shd w:val="clear" w:fill="FFFFFF" w:themeFill="background1"/>
        <w:rPr>
          <w:rFonts w:hint="eastAsia" w:ascii="宋体" w:hAnsi="宋体" w:eastAsia="宋体" w:cs="宋体"/>
          <w:b/>
          <w:bCs/>
          <w:color w:val="auto"/>
          <w:sz w:val="24"/>
          <w:highlight w:val="none"/>
        </w:rPr>
      </w:pPr>
    </w:p>
    <w:p>
      <w:pPr>
        <w:shd w:val="clear" w:fill="FFFFFF" w:themeFill="background1"/>
        <w:rPr>
          <w:rFonts w:hint="eastAsia" w:ascii="宋体" w:hAnsi="宋体" w:eastAsia="宋体" w:cs="宋体"/>
          <w:b/>
          <w:bCs/>
          <w:color w:val="auto"/>
          <w:sz w:val="24"/>
          <w:highlight w:val="none"/>
        </w:rPr>
      </w:pPr>
    </w:p>
    <w:p>
      <w:pPr>
        <w:shd w:val="clear" w:fill="FFFFFF" w:themeFill="background1"/>
        <w:rPr>
          <w:rFonts w:hint="eastAsia" w:ascii="宋体" w:hAnsi="宋体" w:eastAsia="宋体" w:cs="宋体"/>
          <w:b/>
          <w:bCs/>
          <w:color w:val="auto"/>
          <w:sz w:val="24"/>
          <w:highlight w:val="none"/>
        </w:rPr>
      </w:pPr>
    </w:p>
    <w:p>
      <w:pPr>
        <w:shd w:val="clear" w:fill="FFFFFF" w:themeFill="background1"/>
        <w:rPr>
          <w:rFonts w:hint="eastAsia" w:ascii="宋体" w:hAnsi="宋体" w:eastAsia="宋体" w:cs="宋体"/>
          <w:b/>
          <w:bCs/>
          <w:color w:val="auto"/>
          <w:sz w:val="24"/>
          <w:highlight w:val="none"/>
        </w:rPr>
      </w:pPr>
    </w:p>
    <w:p>
      <w:pPr>
        <w:shd w:val="clear" w:fill="FFFFFF" w:themeFill="background1"/>
        <w:rPr>
          <w:rFonts w:hint="eastAsia" w:ascii="宋体" w:hAnsi="宋体" w:eastAsia="宋体" w:cs="宋体"/>
          <w:b/>
          <w:bCs/>
          <w:color w:val="auto"/>
          <w:sz w:val="28"/>
          <w:szCs w:val="28"/>
          <w:highlight w:val="none"/>
        </w:rPr>
      </w:pPr>
      <w:bookmarkStart w:id="457" w:name="_Toc20056"/>
      <w:bookmarkStart w:id="458" w:name="_Toc2390"/>
      <w:r>
        <w:rPr>
          <w:rFonts w:hint="eastAsia" w:ascii="宋体" w:hAnsi="宋体" w:eastAsia="宋体" w:cs="宋体"/>
          <w:color w:val="auto"/>
          <w:sz w:val="28"/>
          <w:szCs w:val="28"/>
          <w:highlight w:val="none"/>
        </w:rPr>
        <w:br w:type="page"/>
      </w:r>
      <w:r>
        <w:rPr>
          <w:rFonts w:hint="eastAsia" w:ascii="宋体" w:hAnsi="宋体" w:eastAsia="宋体" w:cs="宋体"/>
          <w:b/>
          <w:bCs/>
          <w:color w:val="auto"/>
          <w:sz w:val="28"/>
          <w:szCs w:val="28"/>
          <w:highlight w:val="none"/>
        </w:rPr>
        <w:t>2.1投标函</w:t>
      </w:r>
      <w:bookmarkEnd w:id="457"/>
      <w:bookmarkEnd w:id="458"/>
      <w:r>
        <w:rPr>
          <w:rFonts w:hint="eastAsia" w:ascii="宋体" w:hAnsi="宋体" w:eastAsia="宋体" w:cs="宋体"/>
          <w:b/>
          <w:bCs/>
          <w:color w:val="auto"/>
          <w:sz w:val="28"/>
          <w:szCs w:val="28"/>
          <w:highlight w:val="none"/>
        </w:rPr>
        <w:t xml:space="preserve"> </w:t>
      </w:r>
    </w:p>
    <w:p>
      <w:pPr>
        <w:shd w:val="clear" w:fill="FFFFFF" w:themeFill="background1"/>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 标 函</w:t>
      </w:r>
    </w:p>
    <w:p>
      <w:pPr>
        <w:shd w:val="clear" w:fill="FFFFFF" w:themeFill="background1"/>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（招标人名称） </w:t>
      </w:r>
    </w:p>
    <w:p>
      <w:pPr>
        <w:shd w:val="clear" w:fill="FFFFFF" w:themeFill="background1"/>
        <w:tabs>
          <w:tab w:val="left" w:pos="0"/>
        </w:tabs>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我方己仔细研究了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招标文件的全部内容和要求，对报价进行了认真测算，综合考虑各项风险后， 愿以人民币（大写：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（小写：    元）</w:t>
      </w:r>
      <w:r>
        <w:rPr>
          <w:rFonts w:hint="eastAsia" w:ascii="宋体" w:hAnsi="宋体" w:eastAsia="宋体" w:cs="宋体"/>
          <w:color w:val="auto"/>
          <w:sz w:val="24"/>
          <w:highlight w:val="none"/>
        </w:rPr>
        <w:t>的投标总报价，工期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日历天，按合同约定实施和完成承包工程，修补工程中的任何缺陷，工程质量达到</w:t>
      </w:r>
      <w:r>
        <w:rPr>
          <w:rFonts w:hint="eastAsia" w:ascii="宋体" w:hAnsi="宋体" w:eastAsia="宋体" w:cs="宋体"/>
          <w:color w:val="auto"/>
          <w:sz w:val="24"/>
          <w:highlight w:val="none"/>
          <w:u w:val="single"/>
        </w:rPr>
        <w:t xml:space="preserve">      合格     </w:t>
      </w:r>
      <w:r>
        <w:rPr>
          <w:rFonts w:hint="eastAsia" w:ascii="宋体" w:hAnsi="宋体" w:eastAsia="宋体" w:cs="宋体"/>
          <w:color w:val="auto"/>
          <w:sz w:val="24"/>
          <w:highlight w:val="none"/>
        </w:rPr>
        <w:t>标准。</w:t>
      </w:r>
    </w:p>
    <w:p>
      <w:pPr>
        <w:shd w:val="clear" w:fill="FFFFFF" w:themeFill="background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2．我方承诺在投标有效期内不修改、撤销投标文件。</w:t>
      </w:r>
    </w:p>
    <w:p>
      <w:pPr>
        <w:shd w:val="clear" w:fill="FFFFFF" w:themeFill="background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3．如我方中标，我方拟派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为本工程项目经理，其项目经理资格为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（专业）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级注册建造师。 </w:t>
      </w:r>
    </w:p>
    <w:p>
      <w:pPr>
        <w:shd w:val="clear" w:fill="FFFFFF" w:themeFill="background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4．如我方中标，承诺如下：</w:t>
      </w:r>
    </w:p>
    <w:p>
      <w:pPr>
        <w:shd w:val="clear" w:fill="FFFFFF" w:themeFill="background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（l）在收到中标通知书后，在中标通知书规定的期限内与你方签订合同。</w:t>
      </w:r>
    </w:p>
    <w:p>
      <w:pPr>
        <w:shd w:val="clear" w:fill="FFFFFF" w:themeFill="background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（2）随同本投标函递交的投标函附录（投标人诚信承诺书）属于合同文件的组成部分。</w:t>
      </w:r>
    </w:p>
    <w:p>
      <w:pPr>
        <w:shd w:val="clear" w:fill="FFFFFF" w:themeFill="background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（3）按照招标文件规定向你方递交履约担保。</w:t>
      </w:r>
    </w:p>
    <w:p>
      <w:pPr>
        <w:shd w:val="clear" w:fill="FFFFFF" w:themeFill="background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（4）在合同约定的期限内完成并移交全部合同工程。</w:t>
      </w:r>
    </w:p>
    <w:p>
      <w:pPr>
        <w:shd w:val="clear" w:fill="FFFFFF" w:themeFill="background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（5）本投标函在招标文件规定的提交投标文件截止时间后，在招标文件规定的投标有效期期满前对我方具有约束力，且随时准备接受你方发出的中标通知书。</w:t>
      </w:r>
    </w:p>
    <w:p>
      <w:pPr>
        <w:shd w:val="clear" w:fill="FFFFFF" w:themeFill="background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（6）在价款结算过程中按照招标文件约定的方式进行结算。</w:t>
      </w:r>
    </w:p>
    <w:p>
      <w:pPr>
        <w:shd w:val="clear" w:fill="FFFFFF" w:themeFill="background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 后期履约过程中除不可抗力外如放弃（拒绝）履约，同意履约保证金不予退还，三年内不参与阜阳市公共资源交易活动。</w:t>
      </w:r>
    </w:p>
    <w:p>
      <w:pPr>
        <w:shd w:val="clear" w:fill="FFFFFF" w:themeFill="background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5．我方在此声明，所递交的投标文件及有关资料内容完整、真实和准确，且不存在第二章“投标人须知”第1.4.3 项规定和投标人诚信承诺书的任何一种情形。</w:t>
      </w:r>
    </w:p>
    <w:p>
      <w:pPr>
        <w:shd w:val="clear" w:fill="FFFFFF" w:themeFill="background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（其他补充说明）。</w:t>
      </w:r>
    </w:p>
    <w:p>
      <w:pPr>
        <w:shd w:val="clear" w:fill="FFFFFF" w:themeFill="background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附录：投标人诚信承诺书</w:t>
      </w:r>
    </w:p>
    <w:p>
      <w:pPr>
        <w:shd w:val="clear" w:fill="FFFFFF" w:themeFill="background1"/>
        <w:spacing w:line="440" w:lineRule="exact"/>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pPr>
        <w:shd w:val="clear" w:fill="FFFFFF" w:themeFill="background1"/>
        <w:spacing w:line="440" w:lineRule="exact"/>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shd w:val="clear" w:fill="FFFFFF" w:themeFill="background1"/>
        <w:spacing w:line="440" w:lineRule="exact"/>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p>
    <w:p>
      <w:pPr>
        <w:shd w:val="clear" w:fill="FFFFFF" w:themeFill="background1"/>
        <w:spacing w:line="440" w:lineRule="exact"/>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p>
    <w:p>
      <w:pPr>
        <w:shd w:val="clear" w:fill="FFFFFF" w:themeFill="background1"/>
        <w:spacing w:line="440" w:lineRule="exact"/>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r>
        <w:rPr>
          <w:rFonts w:hint="eastAsia" w:ascii="宋体" w:hAnsi="宋体" w:eastAsia="宋体" w:cs="宋体"/>
          <w:color w:val="auto"/>
          <w:sz w:val="24"/>
          <w:highlight w:val="none"/>
          <w:u w:val="single"/>
        </w:rPr>
        <w:t xml:space="preserve">                                 </w:t>
      </w:r>
    </w:p>
    <w:p>
      <w:pPr>
        <w:shd w:val="clear" w:fill="FFFFFF" w:themeFill="background1"/>
        <w:spacing w:line="440" w:lineRule="exact"/>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hd w:val="clear" w:fill="FFFFFF" w:themeFill="background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（联合体投标的,还应加盖联合体成员单位章）</w:t>
      </w:r>
    </w:p>
    <w:p>
      <w:pPr>
        <w:shd w:val="clear" w:fill="FFFFFF" w:themeFill="background1"/>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28"/>
          <w:szCs w:val="28"/>
          <w:highlight w:val="none"/>
        </w:rPr>
        <w:t>附录：</w:t>
      </w:r>
    </w:p>
    <w:p>
      <w:pPr>
        <w:pStyle w:val="37"/>
        <w:widowControl w:val="0"/>
        <w:shd w:val="clear" w:fill="FFFFFF" w:themeFill="background1"/>
        <w:jc w:val="left"/>
        <w:rPr>
          <w:rFonts w:hint="eastAsia" w:ascii="宋体" w:hAnsi="宋体" w:eastAsia="宋体" w:cs="宋体"/>
          <w:b/>
          <w:bCs/>
          <w:color w:val="auto"/>
          <w:sz w:val="24"/>
          <w:szCs w:val="24"/>
          <w:highlight w:val="none"/>
        </w:rPr>
      </w:pPr>
    </w:p>
    <w:p>
      <w:pPr>
        <w:shd w:val="clear" w:fill="FFFFFF" w:themeFill="background1"/>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投标人诚信承诺书</w:t>
      </w:r>
    </w:p>
    <w:p>
      <w:pPr>
        <w:pStyle w:val="37"/>
        <w:widowControl w:val="0"/>
        <w:shd w:val="clear" w:fill="FFFFFF" w:themeFill="background1"/>
        <w:jc w:val="center"/>
        <w:rPr>
          <w:rFonts w:hint="eastAsia" w:ascii="宋体" w:hAnsi="宋体" w:eastAsia="宋体" w:cs="宋体"/>
          <w:b/>
          <w:bCs/>
          <w:color w:val="auto"/>
          <w:sz w:val="24"/>
          <w:szCs w:val="24"/>
          <w:highlight w:val="none"/>
        </w:rPr>
      </w:pPr>
    </w:p>
    <w:p>
      <w:pPr>
        <w:pStyle w:val="37"/>
        <w:shd w:val="clear" w:fill="FFFFFF" w:themeFill="background1"/>
        <w:jc w:val="center"/>
        <w:rPr>
          <w:rFonts w:hint="eastAsia" w:ascii="宋体" w:hAnsi="宋体" w:eastAsia="宋体" w:cs="宋体"/>
          <w:b/>
          <w:bCs/>
          <w:color w:val="auto"/>
          <w:sz w:val="24"/>
          <w:szCs w:val="24"/>
          <w:highlight w:val="none"/>
        </w:rPr>
      </w:pPr>
    </w:p>
    <w:p>
      <w:pPr>
        <w:shd w:val="clear" w:fill="FFFFFF" w:themeFill="background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我单位参加本次投标，郑重承诺如下：</w:t>
      </w:r>
    </w:p>
    <w:p>
      <w:pPr>
        <w:shd w:val="clear" w:fill="FFFFFF" w:themeFill="background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 本次投标提供的所有资料都是真实有效、准确完整的，如发现提供虚假资料或与事实不符，同意取消投标和中标候选人资格。</w:t>
      </w:r>
    </w:p>
    <w:p>
      <w:pPr>
        <w:shd w:val="clear" w:fill="FFFFFF" w:themeFill="background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2．本次投标绝无资质挂靠、串标、围标情形，若经查证属实，同意取消投标和中标候选人资格。</w:t>
      </w:r>
    </w:p>
    <w:p>
      <w:pPr>
        <w:shd w:val="clear" w:fill="FFFFFF" w:themeFill="background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本次投标拟任项目经理目前未在其他项目上任职，或虽在其他项目上任职但本项目中标后能够从原任职撤离，否则同意取消中标人资格。</w:t>
      </w:r>
    </w:p>
    <w:p>
      <w:pPr>
        <w:shd w:val="clear" w:fill="FFFFFF" w:themeFill="background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4．本次招标如我方为中标候选人，除不可抗力外，决不因任何其它原因放弃中标候选人资格。</w:t>
      </w:r>
    </w:p>
    <w:p>
      <w:pPr>
        <w:shd w:val="clear" w:fill="FFFFFF" w:themeFill="background1"/>
        <w:spacing w:line="400" w:lineRule="exact"/>
        <w:ind w:firstLine="420" w:firstLineChars="200"/>
        <w:rPr>
          <w:rFonts w:hint="eastAsia" w:ascii="宋体" w:hAnsi="宋体" w:eastAsia="宋体" w:cs="宋体"/>
          <w:color w:val="auto"/>
          <w:highlight w:val="none"/>
        </w:rPr>
      </w:pPr>
      <w:bookmarkStart w:id="459" w:name="OLE_LINK1"/>
      <w:r>
        <w:rPr>
          <w:rFonts w:hint="eastAsia" w:ascii="宋体" w:hAnsi="宋体" w:eastAsia="宋体" w:cs="宋体"/>
          <w:color w:val="auto"/>
          <w:highlight w:val="none"/>
        </w:rPr>
        <w:t>5、我方中标后，严格按照招标文件和我单位投标文件的约定签订合同。</w:t>
      </w:r>
    </w:p>
    <w:p>
      <w:pPr>
        <w:shd w:val="clear" w:fill="FFFFFF" w:themeFill="background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6、我方达不到招标公告投标人资格要求条件参与投标或被行政主管部门、监督管理部门等暂停、取消公共资源交易资格且在限制期内参与投标的，同意视为弄虚作假进行处理。</w:t>
      </w:r>
    </w:p>
    <w:p>
      <w:pPr>
        <w:shd w:val="clear" w:fill="FFFFFF" w:themeFill="background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7、我方参加投标决不故意非实质性响应招标文件（如投标报价高于或等于该项目最高投标限价等）。否则，同意视为串通投标进行处理。</w:t>
      </w:r>
    </w:p>
    <w:p>
      <w:pPr>
        <w:shd w:val="clear" w:fill="FFFFFF" w:themeFill="background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8、我单位作为投诉人投诉时，投诉书上的法定代表人签字与我单位数字证书（CA锁）内的法定代表人签字或其他文件中的法定代表人签字一致（系同一人所签）。否则视为弄虚作假。</w:t>
      </w:r>
    </w:p>
    <w:p>
      <w:pPr>
        <w:shd w:val="clear" w:fill="FFFFFF" w:themeFill="background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pPr>
        <w:shd w:val="clear" w:fill="FFFFFF" w:themeFill="background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出现违反上述承诺情形之一的，我方还同意投标保证金不予退还并在1至3年内不参与阜阳市公共资源交易活动，愿意公开披露我单位违反承诺的不良行为信息，愿意接受处罚并承担所有经济损失和法律责任。</w:t>
      </w:r>
      <w:bookmarkEnd w:id="459"/>
    </w:p>
    <w:p>
      <w:pPr>
        <w:pStyle w:val="37"/>
        <w:widowControl w:val="0"/>
        <w:shd w:val="clear" w:fill="FFFFFF" w:themeFill="background1"/>
        <w:spacing w:line="440" w:lineRule="exact"/>
        <w:ind w:firstLine="420"/>
        <w:rPr>
          <w:rFonts w:hint="eastAsia" w:ascii="宋体" w:hAnsi="宋体" w:eastAsia="宋体" w:cs="宋体"/>
          <w:color w:val="auto"/>
          <w:sz w:val="24"/>
          <w:highlight w:val="none"/>
        </w:rPr>
      </w:pPr>
    </w:p>
    <w:p>
      <w:pPr>
        <w:pStyle w:val="37"/>
        <w:widowControl w:val="0"/>
        <w:shd w:val="clear" w:fill="FFFFFF" w:themeFill="background1"/>
        <w:spacing w:line="440" w:lineRule="exact"/>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pPr>
        <w:pStyle w:val="37"/>
        <w:widowControl w:val="0"/>
        <w:shd w:val="clear" w:fill="FFFFFF" w:themeFill="background1"/>
        <w:spacing w:line="440" w:lineRule="exact"/>
        <w:ind w:firstLine="42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pStyle w:val="37"/>
        <w:widowControl w:val="0"/>
        <w:shd w:val="clear" w:fill="FFFFFF" w:themeFill="background1"/>
        <w:spacing w:line="440" w:lineRule="exact"/>
        <w:ind w:firstLine="42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hd w:val="clear" w:fill="FFFFFF" w:themeFill="background1"/>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pStyle w:val="37"/>
        <w:widowControl w:val="0"/>
        <w:shd w:val="clear" w:fill="FFFFFF" w:themeFill="background1"/>
        <w:spacing w:line="440" w:lineRule="exact"/>
        <w:ind w:firstLine="315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37"/>
        <w:widowControl w:val="0"/>
        <w:shd w:val="clear" w:fill="FFFFFF" w:themeFill="background1"/>
        <w:spacing w:line="440" w:lineRule="exact"/>
        <w:ind w:firstLine="3150"/>
        <w:jc w:val="right"/>
        <w:rPr>
          <w:rFonts w:hint="eastAsia" w:ascii="宋体" w:hAnsi="宋体" w:eastAsia="宋体" w:cs="宋体"/>
          <w:color w:val="auto"/>
          <w:sz w:val="24"/>
          <w:highlight w:val="none"/>
        </w:rPr>
      </w:pPr>
    </w:p>
    <w:p>
      <w:pPr>
        <w:shd w:val="clear" w:fill="FFFFFF" w:themeFill="background1"/>
        <w:spacing w:line="360" w:lineRule="auto"/>
        <w:rPr>
          <w:rFonts w:hint="eastAsia" w:ascii="宋体" w:hAnsi="宋体" w:eastAsia="宋体" w:cs="宋体"/>
          <w:b/>
          <w:bCs/>
          <w:color w:val="auto"/>
          <w:sz w:val="28"/>
          <w:szCs w:val="28"/>
          <w:highlight w:val="none"/>
        </w:rPr>
      </w:pPr>
      <w:r>
        <w:rPr>
          <w:rFonts w:hint="eastAsia" w:ascii="宋体" w:hAnsi="宋体" w:eastAsia="宋体" w:cs="宋体"/>
          <w:color w:val="auto"/>
          <w:kern w:val="0"/>
          <w:sz w:val="24"/>
          <w:highlight w:val="none"/>
        </w:rPr>
        <w:br w:type="page"/>
      </w:r>
      <w:bookmarkStart w:id="460" w:name="_Toc11814"/>
      <w:bookmarkStart w:id="461" w:name="_Toc12431"/>
      <w:r>
        <w:rPr>
          <w:rFonts w:hint="eastAsia" w:ascii="宋体" w:hAnsi="宋体" w:eastAsia="宋体" w:cs="宋体"/>
          <w:b/>
          <w:bCs/>
          <w:color w:val="auto"/>
          <w:sz w:val="28"/>
          <w:szCs w:val="28"/>
          <w:highlight w:val="none"/>
        </w:rPr>
        <w:t>2.2授权委托书</w:t>
      </w:r>
      <w:bookmarkEnd w:id="460"/>
      <w:bookmarkEnd w:id="461"/>
    </w:p>
    <w:p>
      <w:pPr>
        <w:shd w:val="clear" w:fill="FFFFFF" w:themeFill="background1"/>
        <w:jc w:val="center"/>
        <w:outlineLvl w:val="0"/>
        <w:rPr>
          <w:rFonts w:hint="eastAsia" w:ascii="宋体" w:hAnsi="宋体" w:eastAsia="宋体" w:cs="宋体"/>
          <w:b/>
          <w:color w:val="auto"/>
          <w:sz w:val="32"/>
          <w:szCs w:val="32"/>
          <w:highlight w:val="none"/>
        </w:rPr>
      </w:pPr>
      <w:bookmarkStart w:id="462" w:name="_Toc3612"/>
      <w:bookmarkStart w:id="463" w:name="_Toc6479"/>
      <w:r>
        <w:rPr>
          <w:rFonts w:hint="eastAsia" w:ascii="宋体" w:hAnsi="宋体" w:eastAsia="宋体" w:cs="宋体"/>
          <w:b/>
          <w:color w:val="auto"/>
          <w:sz w:val="32"/>
          <w:szCs w:val="32"/>
          <w:highlight w:val="none"/>
        </w:rPr>
        <w:t>授权委托书</w:t>
      </w:r>
    </w:p>
    <w:p>
      <w:pPr>
        <w:shd w:val="clear" w:fill="FFFFFF" w:themeFill="background1"/>
        <w:spacing w:line="360" w:lineRule="auto"/>
        <w:ind w:firstLine="482" w:firstLineChars="200"/>
        <w:rPr>
          <w:rFonts w:hint="eastAsia" w:ascii="宋体" w:hAnsi="宋体" w:eastAsia="宋体" w:cs="宋体"/>
          <w:b/>
          <w:color w:val="auto"/>
          <w:sz w:val="24"/>
          <w:highlight w:val="none"/>
        </w:rPr>
      </w:pPr>
    </w:p>
    <w:p>
      <w:pPr>
        <w:shd w:val="clear" w:fill="FFFFFF" w:themeFill="background1"/>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（姓名）系</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（投标人名称）的法定代表人，现委托</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（姓名）为我方代理人。代理人根据授权，以我方名义签署、澄清、说明、补正、递交、撤回、修改</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（项目名称）</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标段施工投标文件、签订合同和处理有关事宜，其法律后果由我方承担。</w:t>
      </w:r>
    </w:p>
    <w:p>
      <w:pPr>
        <w:shd w:val="clear" w:fill="FFFFFF" w:themeFill="background1"/>
        <w:spacing w:line="440" w:lineRule="exact"/>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委托期限：</w:t>
      </w:r>
      <w:r>
        <w:rPr>
          <w:rFonts w:hint="eastAsia" w:ascii="宋体" w:hAnsi="宋体" w:eastAsia="宋体" w:cs="宋体"/>
          <w:bCs/>
          <w:color w:val="auto"/>
          <w:sz w:val="24"/>
          <w:highlight w:val="none"/>
          <w:u w:val="single"/>
        </w:rPr>
        <w:t xml:space="preserve">               </w:t>
      </w:r>
    </w:p>
    <w:p>
      <w:pPr>
        <w:shd w:val="clear" w:fill="FFFFFF" w:themeFill="background1"/>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代理人无转委托权。</w:t>
      </w:r>
    </w:p>
    <w:p>
      <w:pPr>
        <w:shd w:val="clear" w:fill="FFFFFF" w:themeFill="background1"/>
        <w:spacing w:after="156"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附：法定代表人和授权委托人的人身份证复印件（正反两面）</w:t>
      </w:r>
    </w:p>
    <w:p>
      <w:pPr>
        <w:shd w:val="clear" w:fill="FFFFFF" w:themeFill="background1"/>
        <w:spacing w:line="440" w:lineRule="exact"/>
        <w:ind w:firstLine="480" w:firstLineChars="200"/>
        <w:rPr>
          <w:rFonts w:hint="eastAsia" w:ascii="宋体" w:hAnsi="宋体" w:eastAsia="宋体" w:cs="宋体"/>
          <w:bCs/>
          <w:color w:val="auto"/>
          <w:sz w:val="24"/>
          <w:highlight w:val="none"/>
        </w:rPr>
      </w:pPr>
    </w:p>
    <w:p>
      <w:pPr>
        <w:shd w:val="clear" w:fill="FFFFFF" w:themeFill="background1"/>
        <w:spacing w:line="440" w:lineRule="exact"/>
        <w:ind w:firstLine="480" w:firstLineChars="200"/>
        <w:rPr>
          <w:rFonts w:hint="eastAsia" w:ascii="宋体" w:hAnsi="宋体" w:eastAsia="宋体" w:cs="宋体"/>
          <w:bCs/>
          <w:color w:val="auto"/>
          <w:sz w:val="24"/>
          <w:highlight w:val="none"/>
        </w:rPr>
      </w:pPr>
    </w:p>
    <w:p>
      <w:pPr>
        <w:shd w:val="clear" w:fill="FFFFFF" w:themeFill="background1"/>
        <w:spacing w:line="440" w:lineRule="exact"/>
        <w:ind w:firstLine="480" w:firstLineChars="200"/>
        <w:rPr>
          <w:rFonts w:hint="eastAsia" w:ascii="宋体" w:hAnsi="宋体" w:eastAsia="宋体" w:cs="宋体"/>
          <w:bCs/>
          <w:color w:val="auto"/>
          <w:sz w:val="24"/>
          <w:highlight w:val="none"/>
        </w:rPr>
      </w:pPr>
    </w:p>
    <w:p>
      <w:pPr>
        <w:shd w:val="clear" w:fill="FFFFFF" w:themeFill="background1"/>
        <w:spacing w:line="440" w:lineRule="exact"/>
        <w:ind w:firstLine="480" w:firstLineChars="200"/>
        <w:jc w:val="right"/>
        <w:rPr>
          <w:rFonts w:hint="eastAsia" w:ascii="宋体" w:hAnsi="宋体" w:eastAsia="宋体" w:cs="宋体"/>
          <w:bCs/>
          <w:color w:val="auto"/>
          <w:sz w:val="24"/>
          <w:highlight w:val="none"/>
        </w:rPr>
      </w:pPr>
    </w:p>
    <w:p>
      <w:pPr>
        <w:shd w:val="clear" w:fill="FFFFFF" w:themeFill="background1"/>
        <w:spacing w:line="440" w:lineRule="exact"/>
        <w:ind w:firstLine="2940" w:firstLineChars="122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pPr>
        <w:shd w:val="clear" w:fill="FFFFFF" w:themeFill="background1"/>
        <w:spacing w:line="440" w:lineRule="exact"/>
        <w:ind w:firstLine="2940" w:firstLineChars="1225"/>
        <w:rPr>
          <w:rFonts w:hint="eastAsia" w:ascii="宋体" w:hAnsi="宋体" w:eastAsia="宋体" w:cs="宋体"/>
          <w:color w:val="auto"/>
          <w:sz w:val="24"/>
          <w:highlight w:val="none"/>
        </w:rPr>
      </w:pPr>
    </w:p>
    <w:p>
      <w:pPr>
        <w:shd w:val="clear" w:fill="FFFFFF" w:themeFill="background1"/>
        <w:spacing w:line="440" w:lineRule="exact"/>
        <w:ind w:firstLine="2940" w:firstLineChars="1225"/>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（签字或盖章）       </w:t>
      </w:r>
    </w:p>
    <w:p>
      <w:pPr>
        <w:shd w:val="clear" w:fill="FFFFFF" w:themeFill="background1"/>
        <w:spacing w:line="440" w:lineRule="exact"/>
        <w:ind w:firstLine="2940" w:firstLineChars="1225"/>
        <w:rPr>
          <w:rFonts w:hint="eastAsia" w:ascii="宋体" w:hAnsi="宋体" w:eastAsia="宋体" w:cs="宋体"/>
          <w:color w:val="auto"/>
          <w:sz w:val="24"/>
          <w:highlight w:val="none"/>
        </w:rPr>
      </w:pPr>
    </w:p>
    <w:p>
      <w:pPr>
        <w:shd w:val="clear" w:fill="FFFFFF" w:themeFill="background1"/>
        <w:spacing w:line="440" w:lineRule="exact"/>
        <w:ind w:firstLine="2940" w:firstLineChars="1225"/>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pPr>
        <w:shd w:val="clear" w:fill="FFFFFF" w:themeFill="background1"/>
        <w:spacing w:line="440" w:lineRule="exact"/>
        <w:ind w:firstLine="2940" w:firstLineChars="1225"/>
        <w:rPr>
          <w:rFonts w:hint="eastAsia" w:ascii="宋体" w:hAnsi="宋体" w:eastAsia="宋体" w:cs="宋体"/>
          <w:color w:val="auto"/>
          <w:sz w:val="24"/>
          <w:highlight w:val="none"/>
        </w:rPr>
      </w:pPr>
    </w:p>
    <w:p>
      <w:pPr>
        <w:shd w:val="clear" w:fill="FFFFFF" w:themeFill="background1"/>
        <w:spacing w:line="440" w:lineRule="exact"/>
        <w:ind w:firstLine="2940" w:firstLineChars="1225"/>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shd w:val="clear" w:fill="FFFFFF" w:themeFill="background1"/>
        <w:spacing w:line="440" w:lineRule="exact"/>
        <w:ind w:firstLine="2940" w:firstLineChars="1225"/>
        <w:rPr>
          <w:rFonts w:hint="eastAsia" w:ascii="宋体" w:hAnsi="宋体" w:eastAsia="宋体" w:cs="宋体"/>
          <w:color w:val="auto"/>
          <w:sz w:val="24"/>
          <w:highlight w:val="none"/>
        </w:rPr>
      </w:pPr>
    </w:p>
    <w:p>
      <w:pPr>
        <w:shd w:val="clear" w:fill="FFFFFF" w:themeFill="background1"/>
        <w:spacing w:line="440" w:lineRule="exact"/>
        <w:ind w:firstLine="2940" w:firstLineChars="1225"/>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pPr>
        <w:shd w:val="clear" w:fill="FFFFFF" w:themeFill="background1"/>
        <w:spacing w:line="440" w:lineRule="exact"/>
        <w:ind w:firstLine="2940" w:firstLineChars="122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hd w:val="clear" w:fill="FFFFFF" w:themeFill="background1"/>
        <w:spacing w:line="440" w:lineRule="exact"/>
        <w:ind w:firstLine="5460" w:firstLineChars="22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hd w:val="clear" w:fill="FFFFFF" w:themeFill="background1"/>
        <w:spacing w:line="440" w:lineRule="exact"/>
        <w:ind w:firstLine="2940" w:firstLineChars="1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p>
    <w:p>
      <w:pPr>
        <w:shd w:val="clear" w:fill="FFFFFF" w:themeFill="background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2.2.1法定代表人身份证明</w:t>
      </w:r>
    </w:p>
    <w:p>
      <w:pPr>
        <w:shd w:val="clear" w:fill="FFFFFF" w:themeFill="background1"/>
        <w:ind w:firstLine="2570" w:firstLineChars="8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w:t>
      </w:r>
    </w:p>
    <w:p>
      <w:pPr>
        <w:widowControl/>
        <w:shd w:val="clear" w:fill="FFFFFF" w:themeFill="background1"/>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shd w:val="clear" w:fill="FFFFFF" w:themeFill="background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hd w:val="clear" w:fill="FFFFFF" w:themeFill="background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hd w:val="clear" w:fill="FFFFFF" w:themeFill="background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hd w:val="clear" w:fill="FFFFFF" w:themeFill="background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hd w:val="clear" w:fill="FFFFFF" w:themeFill="background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hd w:val="clear" w:fill="FFFFFF" w:themeFill="background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_</w:t>
      </w:r>
    </w:p>
    <w:p>
      <w:pPr>
        <w:shd w:val="clear" w:fill="FFFFFF" w:themeFill="background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pPr>
        <w:shd w:val="clear" w:fill="FFFFFF" w:themeFill="background1"/>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hd w:val="clear" w:fill="FFFFFF" w:themeFill="background1"/>
        <w:spacing w:line="360" w:lineRule="auto"/>
        <w:ind w:firstLine="480" w:firstLineChars="200"/>
        <w:rPr>
          <w:rFonts w:hint="eastAsia" w:ascii="宋体" w:hAnsi="宋体" w:eastAsia="宋体" w:cs="宋体"/>
          <w:color w:val="auto"/>
          <w:sz w:val="24"/>
          <w:szCs w:val="24"/>
          <w:highlight w:val="none"/>
        </w:rPr>
      </w:pPr>
    </w:p>
    <w:p>
      <w:pPr>
        <w:shd w:val="clear" w:fill="FFFFFF" w:themeFill="background1"/>
        <w:spacing w:line="360" w:lineRule="auto"/>
        <w:ind w:firstLine="480" w:firstLineChars="200"/>
        <w:rPr>
          <w:rFonts w:hint="eastAsia" w:ascii="宋体" w:hAnsi="宋体" w:eastAsia="宋体" w:cs="宋体"/>
          <w:color w:val="auto"/>
          <w:sz w:val="24"/>
          <w:szCs w:val="24"/>
          <w:highlight w:val="none"/>
        </w:rPr>
      </w:pPr>
    </w:p>
    <w:p>
      <w:pPr>
        <w:shd w:val="clear" w:fill="FFFFFF" w:themeFill="background1"/>
        <w:spacing w:line="360" w:lineRule="auto"/>
        <w:ind w:firstLine="480" w:firstLineChars="200"/>
        <w:rPr>
          <w:rFonts w:hint="eastAsia" w:ascii="宋体" w:hAnsi="宋体" w:eastAsia="宋体" w:cs="宋体"/>
          <w:color w:val="auto"/>
          <w:sz w:val="24"/>
          <w:szCs w:val="24"/>
          <w:highlight w:val="none"/>
        </w:rPr>
      </w:pPr>
    </w:p>
    <w:p>
      <w:pPr>
        <w:shd w:val="clear" w:fill="FFFFFF" w:themeFill="background1"/>
        <w:spacing w:line="360" w:lineRule="auto"/>
        <w:ind w:firstLine="2760" w:firstLineChars="1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shd w:val="clear" w:fill="FFFFFF" w:themeFill="background1"/>
        <w:spacing w:line="360" w:lineRule="auto"/>
        <w:ind w:firstLine="5160" w:firstLineChars="2150"/>
        <w:rPr>
          <w:rFonts w:hint="eastAsia" w:ascii="宋体" w:hAnsi="宋体" w:eastAsia="宋体" w:cs="宋体"/>
          <w:color w:val="auto"/>
          <w:sz w:val="24"/>
          <w:szCs w:val="24"/>
          <w:highlight w:val="none"/>
          <w:u w:val="single"/>
        </w:rPr>
      </w:pPr>
    </w:p>
    <w:p>
      <w:pPr>
        <w:shd w:val="clear" w:fill="FFFFFF" w:themeFill="background1"/>
        <w:spacing w:line="360" w:lineRule="auto"/>
        <w:ind w:firstLine="3840" w:firstLineChars="16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hd w:val="clear" w:fill="FFFFFF" w:themeFill="background1"/>
        <w:spacing w:line="520" w:lineRule="exact"/>
        <w:jc w:val="center"/>
        <w:rPr>
          <w:rFonts w:hint="eastAsia" w:ascii="宋体" w:hAnsi="宋体" w:eastAsia="宋体" w:cs="宋体"/>
          <w:color w:val="auto"/>
          <w:highlight w:val="none"/>
        </w:rPr>
      </w:pPr>
    </w:p>
    <w:p>
      <w:pPr>
        <w:pStyle w:val="2"/>
        <w:shd w:val="clear" w:fill="FFFFFF" w:themeFill="background1"/>
        <w:rPr>
          <w:rFonts w:hint="eastAsia" w:ascii="宋体" w:hAnsi="宋体" w:eastAsia="宋体" w:cs="宋体"/>
          <w:color w:val="auto"/>
          <w:highlight w:val="none"/>
        </w:rPr>
      </w:pPr>
    </w:p>
    <w:p>
      <w:pPr>
        <w:shd w:val="clear" w:fill="FFFFFF" w:themeFill="background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2.3联合体协议书</w:t>
      </w:r>
      <w:bookmarkEnd w:id="462"/>
      <w:bookmarkEnd w:id="463"/>
      <w:r>
        <w:rPr>
          <w:rFonts w:hint="eastAsia" w:ascii="宋体" w:hAnsi="宋体" w:eastAsia="宋体" w:cs="宋体"/>
          <w:b/>
          <w:bCs/>
          <w:color w:val="auto"/>
          <w:sz w:val="28"/>
          <w:szCs w:val="28"/>
          <w:highlight w:val="none"/>
        </w:rPr>
        <w:t>（如接受联合体投标）</w:t>
      </w:r>
    </w:p>
    <w:p>
      <w:pPr>
        <w:shd w:val="clear" w:fill="FFFFFF" w:themeFill="background1"/>
        <w:jc w:val="center"/>
        <w:outlineLvl w:val="0"/>
        <w:rPr>
          <w:rFonts w:hint="eastAsia" w:ascii="宋体" w:hAnsi="宋体" w:eastAsia="宋体" w:cs="宋体"/>
          <w:b/>
          <w:color w:val="auto"/>
          <w:sz w:val="32"/>
          <w:szCs w:val="32"/>
          <w:highlight w:val="none"/>
        </w:rPr>
      </w:pPr>
    </w:p>
    <w:p>
      <w:pPr>
        <w:shd w:val="clear" w:fill="FFFFFF" w:themeFill="background1"/>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联合体协议书</w:t>
      </w:r>
    </w:p>
    <w:p>
      <w:pPr>
        <w:shd w:val="clear" w:fill="FFFFFF" w:themeFill="background1"/>
        <w:spacing w:line="360" w:lineRule="auto"/>
        <w:ind w:firstLine="482" w:firstLineChars="200"/>
        <w:rPr>
          <w:rFonts w:hint="eastAsia" w:ascii="宋体" w:hAnsi="宋体" w:eastAsia="宋体" w:cs="宋体"/>
          <w:b/>
          <w:bCs/>
          <w:color w:val="auto"/>
          <w:sz w:val="24"/>
          <w:highlight w:val="none"/>
        </w:rPr>
      </w:pPr>
    </w:p>
    <w:p>
      <w:pPr>
        <w:shd w:val="clear" w:fill="FFFFFF" w:themeFill="background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（所有成员单位名称）自愿组成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联合体名称）联合体，共同参加</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标段施工投标。现就联合体投标事宜订立如下协议。</w:t>
      </w:r>
    </w:p>
    <w:p>
      <w:pPr>
        <w:shd w:val="clear" w:fill="FFFFFF" w:themeFill="background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（某成员单位名称）为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（联合体名称）牵头人。</w:t>
      </w:r>
    </w:p>
    <w:p>
      <w:pPr>
        <w:shd w:val="clear" w:fill="FFFFFF" w:themeFill="background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hd w:val="clear" w:fill="FFFFFF" w:themeFill="background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3.联合体将严格按照招标文件的各项要求，递交投标文件，履行合同，并对外承担连带责任。</w:t>
      </w:r>
    </w:p>
    <w:p>
      <w:pPr>
        <w:shd w:val="clear" w:fill="FFFFFF" w:themeFill="background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4.联合体各成员单位内部的职责分工如下：</w:t>
      </w:r>
      <w:r>
        <w:rPr>
          <w:rFonts w:hint="eastAsia" w:ascii="宋体" w:hAnsi="宋体" w:eastAsia="宋体" w:cs="宋体"/>
          <w:color w:val="auto"/>
          <w:sz w:val="24"/>
          <w:highlight w:val="none"/>
          <w:u w:val="single"/>
        </w:rPr>
        <w:t xml:space="preserve">                              </w:t>
      </w:r>
    </w:p>
    <w:p>
      <w:pPr>
        <w:shd w:val="clear" w:fill="FFFFFF" w:themeFill="background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5.本协议书自签署之日起生效，合同履行完毕后自动失效。</w:t>
      </w:r>
    </w:p>
    <w:p>
      <w:pPr>
        <w:shd w:val="clear" w:fill="FFFFFF" w:themeFill="background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6.本协议书一式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份，联合体成员和招标人各执一份。</w:t>
      </w:r>
    </w:p>
    <w:p>
      <w:pPr>
        <w:shd w:val="clear" w:fill="FFFFFF" w:themeFill="background1"/>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注：本协议书由委托代理人签字的，应附法定代表人签字的授权委托书。</w:t>
      </w:r>
    </w:p>
    <w:p>
      <w:pPr>
        <w:shd w:val="clear" w:fill="FFFFFF" w:themeFill="background1"/>
        <w:spacing w:line="440" w:lineRule="exact"/>
        <w:ind w:firstLine="480" w:firstLineChars="200"/>
        <w:rPr>
          <w:rFonts w:hint="eastAsia" w:ascii="宋体" w:hAnsi="宋体" w:eastAsia="宋体" w:cs="宋体"/>
          <w:color w:val="auto"/>
          <w:sz w:val="24"/>
          <w:highlight w:val="none"/>
        </w:rPr>
      </w:pPr>
    </w:p>
    <w:p>
      <w:pPr>
        <w:shd w:val="clear" w:fill="FFFFFF" w:themeFill="background1"/>
        <w:spacing w:line="440" w:lineRule="exact"/>
        <w:ind w:firstLine="480" w:firstLineChars="200"/>
        <w:rPr>
          <w:rFonts w:hint="eastAsia" w:ascii="宋体" w:hAnsi="宋体" w:eastAsia="宋体" w:cs="宋体"/>
          <w:color w:val="auto"/>
          <w:sz w:val="24"/>
          <w:highlight w:val="none"/>
        </w:rPr>
      </w:pPr>
    </w:p>
    <w:p>
      <w:pPr>
        <w:shd w:val="clear" w:fill="FFFFFF" w:themeFill="background1"/>
        <w:spacing w:line="440" w:lineRule="exact"/>
        <w:ind w:firstLine="3568" w:firstLineChars="1487"/>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pPr>
        <w:shd w:val="clear" w:fill="FFFFFF" w:themeFill="background1"/>
        <w:spacing w:line="440" w:lineRule="exact"/>
        <w:ind w:firstLine="3568" w:firstLineChars="1487"/>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shd w:val="clear" w:fill="FFFFFF" w:themeFill="background1"/>
        <w:spacing w:line="440" w:lineRule="exact"/>
        <w:ind w:firstLine="3568" w:firstLineChars="1487"/>
        <w:rPr>
          <w:rFonts w:hint="eastAsia" w:ascii="宋体" w:hAnsi="宋体" w:eastAsia="宋体" w:cs="宋体"/>
          <w:color w:val="auto"/>
          <w:sz w:val="24"/>
          <w:highlight w:val="none"/>
        </w:rPr>
      </w:pPr>
    </w:p>
    <w:p>
      <w:pPr>
        <w:shd w:val="clear" w:fill="FFFFFF" w:themeFill="background1"/>
        <w:spacing w:line="440" w:lineRule="exact"/>
        <w:ind w:firstLine="3568" w:firstLineChars="1487"/>
        <w:rPr>
          <w:rFonts w:hint="eastAsia" w:ascii="宋体" w:hAnsi="宋体" w:eastAsia="宋体" w:cs="宋体"/>
          <w:color w:val="auto"/>
          <w:sz w:val="24"/>
          <w:highlight w:val="none"/>
        </w:rPr>
      </w:pPr>
      <w:r>
        <w:rPr>
          <w:rFonts w:hint="eastAsia" w:ascii="宋体" w:hAnsi="宋体" w:eastAsia="宋体" w:cs="宋体"/>
          <w:color w:val="auto"/>
          <w:sz w:val="24"/>
          <w:highlight w:val="none"/>
        </w:rPr>
        <w:t>成员一名称：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pPr>
        <w:shd w:val="clear" w:fill="FFFFFF" w:themeFill="background1"/>
        <w:spacing w:line="440" w:lineRule="exact"/>
        <w:ind w:firstLine="3568" w:firstLineChars="1487"/>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shd w:val="clear" w:fill="FFFFFF" w:themeFill="background1"/>
        <w:spacing w:line="360" w:lineRule="auto"/>
        <w:ind w:firstLine="3568" w:firstLineChars="1487"/>
        <w:rPr>
          <w:rFonts w:hint="eastAsia" w:ascii="宋体" w:hAnsi="宋体" w:eastAsia="宋体" w:cs="宋体"/>
          <w:color w:val="auto"/>
          <w:sz w:val="24"/>
          <w:highlight w:val="none"/>
        </w:rPr>
      </w:pPr>
    </w:p>
    <w:p>
      <w:pPr>
        <w:shd w:val="clear" w:fill="FFFFFF" w:themeFill="background1"/>
        <w:spacing w:line="360" w:lineRule="auto"/>
        <w:ind w:firstLine="3568" w:firstLineChars="1487"/>
        <w:rPr>
          <w:rFonts w:hint="eastAsia" w:ascii="宋体" w:hAnsi="宋体" w:eastAsia="宋体" w:cs="宋体"/>
          <w:color w:val="auto"/>
          <w:sz w:val="24"/>
          <w:highlight w:val="none"/>
        </w:rPr>
      </w:pPr>
      <w:r>
        <w:rPr>
          <w:rFonts w:hint="eastAsia" w:ascii="宋体" w:hAnsi="宋体" w:eastAsia="宋体" w:cs="宋体"/>
          <w:color w:val="auto"/>
          <w:sz w:val="24"/>
          <w:highlight w:val="none"/>
        </w:rPr>
        <w:t>成员二名称：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pPr>
        <w:shd w:val="clear" w:fill="FFFFFF" w:themeFill="background1"/>
        <w:spacing w:line="360" w:lineRule="auto"/>
        <w:ind w:firstLine="3568" w:firstLineChars="1487"/>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shd w:val="clear" w:fill="FFFFFF" w:themeFill="background1"/>
        <w:spacing w:line="360" w:lineRule="auto"/>
        <w:ind w:firstLine="480" w:firstLineChars="200"/>
        <w:rPr>
          <w:rFonts w:hint="eastAsia" w:ascii="宋体" w:hAnsi="宋体" w:eastAsia="宋体" w:cs="宋体"/>
          <w:color w:val="auto"/>
          <w:sz w:val="24"/>
          <w:highlight w:val="none"/>
          <w:u w:val="single"/>
        </w:rPr>
      </w:pPr>
    </w:p>
    <w:p>
      <w:pPr>
        <w:shd w:val="clear" w:fill="FFFFFF" w:themeFill="background1"/>
        <w:spacing w:line="360" w:lineRule="auto"/>
        <w:ind w:firstLine="5040" w:firstLineChars="2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hd w:val="clear" w:fill="FFFFFF" w:themeFill="background1"/>
        <w:spacing w:line="360" w:lineRule="auto"/>
        <w:ind w:firstLine="5040" w:firstLineChars="2100"/>
        <w:rPr>
          <w:rFonts w:hint="eastAsia" w:ascii="宋体" w:hAnsi="宋体" w:eastAsia="宋体" w:cs="宋体"/>
          <w:color w:val="auto"/>
          <w:sz w:val="24"/>
          <w:highlight w:val="none"/>
        </w:rPr>
      </w:pPr>
    </w:p>
    <w:p>
      <w:pPr>
        <w:shd w:val="clear" w:fill="FFFFFF" w:themeFill="background1"/>
        <w:spacing w:line="360" w:lineRule="auto"/>
        <w:ind w:firstLine="5040" w:firstLineChars="2100"/>
        <w:rPr>
          <w:rFonts w:hint="eastAsia" w:ascii="宋体" w:hAnsi="宋体" w:eastAsia="宋体" w:cs="宋体"/>
          <w:color w:val="auto"/>
          <w:sz w:val="24"/>
          <w:highlight w:val="none"/>
        </w:rPr>
      </w:pPr>
    </w:p>
    <w:p>
      <w:pPr>
        <w:shd w:val="clear" w:fill="FFFFFF" w:themeFill="background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2.4投标保证金</w:t>
      </w:r>
    </w:p>
    <w:p>
      <w:pPr>
        <w:shd w:val="clear" w:fill="FFFFFF" w:themeFill="background1"/>
        <w:jc w:val="center"/>
        <w:outlineLvl w:val="0"/>
        <w:rPr>
          <w:rFonts w:hint="eastAsia" w:ascii="宋体" w:hAnsi="宋体" w:eastAsia="宋体" w:cs="宋体"/>
          <w:b/>
          <w:color w:val="auto"/>
          <w:sz w:val="32"/>
          <w:szCs w:val="32"/>
          <w:highlight w:val="none"/>
        </w:rPr>
      </w:pPr>
    </w:p>
    <w:p>
      <w:pPr>
        <w:shd w:val="clear" w:fill="FFFFFF" w:themeFill="background1"/>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保证金有关证明材料</w:t>
      </w:r>
    </w:p>
    <w:p>
      <w:pPr>
        <w:shd w:val="clear" w:fill="FFFFFF" w:themeFill="background1"/>
        <w:adjustRightInd w:val="0"/>
        <w:snapToGrid w:val="0"/>
        <w:spacing w:before="62" w:beforeLines="20" w:after="62" w:afterLines="20" w:line="540" w:lineRule="exact"/>
        <w:jc w:val="center"/>
        <w:rPr>
          <w:rFonts w:hint="eastAsia" w:ascii="宋体" w:hAnsi="宋体" w:eastAsia="宋体" w:cs="宋体"/>
          <w:b/>
          <w:color w:val="auto"/>
          <w:sz w:val="28"/>
          <w:szCs w:val="28"/>
          <w:highlight w:val="none"/>
        </w:rPr>
      </w:pPr>
    </w:p>
    <w:p>
      <w:pPr>
        <w:shd w:val="clear" w:fill="FFFFFF" w:themeFill="background1"/>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1、投标人基本存款账户开户许可证的复印件：</w:t>
      </w:r>
    </w:p>
    <w:p>
      <w:pPr>
        <w:shd w:val="clear" w:fill="FFFFFF" w:themeFill="background1"/>
        <w:snapToGrid w:val="0"/>
        <w:spacing w:line="360" w:lineRule="auto"/>
        <w:ind w:firstLine="460" w:firstLineChars="192"/>
        <w:rPr>
          <w:rFonts w:hint="eastAsia" w:ascii="宋体" w:hAnsi="宋体" w:eastAsia="宋体" w:cs="宋体"/>
          <w:color w:val="auto"/>
          <w:sz w:val="24"/>
          <w:szCs w:val="24"/>
          <w:highlight w:val="none"/>
        </w:rPr>
      </w:pPr>
    </w:p>
    <w:p>
      <w:pPr>
        <w:shd w:val="clear" w:fill="FFFFFF" w:themeFill="background1"/>
        <w:snapToGrid w:val="0"/>
        <w:spacing w:line="360" w:lineRule="auto"/>
        <w:ind w:firstLine="460" w:firstLineChars="192"/>
        <w:rPr>
          <w:rFonts w:hint="eastAsia" w:ascii="宋体" w:hAnsi="宋体" w:eastAsia="宋体" w:cs="宋体"/>
          <w:color w:val="auto"/>
          <w:sz w:val="24"/>
          <w:szCs w:val="24"/>
          <w:highlight w:val="none"/>
        </w:rPr>
      </w:pPr>
    </w:p>
    <w:p>
      <w:pPr>
        <w:shd w:val="clear" w:fill="FFFFFF" w:themeFill="background1"/>
        <w:snapToGrid w:val="0"/>
        <w:spacing w:line="360" w:lineRule="auto"/>
        <w:ind w:firstLine="460" w:firstLineChars="192"/>
        <w:rPr>
          <w:rFonts w:hint="eastAsia" w:ascii="宋体" w:hAnsi="宋体" w:eastAsia="宋体" w:cs="宋体"/>
          <w:color w:val="auto"/>
          <w:sz w:val="24"/>
          <w:szCs w:val="24"/>
          <w:highlight w:val="none"/>
        </w:rPr>
      </w:pPr>
    </w:p>
    <w:p>
      <w:pPr>
        <w:shd w:val="clear" w:fill="FFFFFF" w:themeFill="background1"/>
        <w:snapToGrid w:val="0"/>
        <w:spacing w:line="360" w:lineRule="auto"/>
        <w:ind w:firstLine="460" w:firstLineChars="192"/>
        <w:rPr>
          <w:rFonts w:hint="eastAsia" w:ascii="宋体" w:hAnsi="宋体" w:eastAsia="宋体" w:cs="宋体"/>
          <w:color w:val="auto"/>
          <w:sz w:val="24"/>
          <w:szCs w:val="24"/>
          <w:highlight w:val="none"/>
        </w:rPr>
      </w:pPr>
    </w:p>
    <w:p>
      <w:pPr>
        <w:shd w:val="clear" w:fill="FFFFFF" w:themeFill="background1"/>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2.保证金转账或电汇凭证的复印件：</w:t>
      </w:r>
    </w:p>
    <w:p>
      <w:pPr>
        <w:shd w:val="clear" w:fill="FFFFFF" w:themeFill="background1"/>
        <w:rPr>
          <w:rFonts w:hint="eastAsia" w:ascii="宋体" w:hAnsi="宋体" w:eastAsia="宋体" w:cs="宋体"/>
          <w:bCs/>
          <w:color w:val="auto"/>
          <w:sz w:val="18"/>
          <w:szCs w:val="18"/>
          <w:highlight w:val="none"/>
        </w:rPr>
      </w:pPr>
    </w:p>
    <w:p>
      <w:pPr>
        <w:shd w:val="clear" w:fill="FFFFFF" w:themeFill="background1"/>
        <w:rPr>
          <w:rFonts w:hint="eastAsia" w:ascii="宋体" w:hAnsi="宋体" w:eastAsia="宋体" w:cs="宋体"/>
          <w:color w:val="auto"/>
          <w:sz w:val="24"/>
          <w:highlight w:val="none"/>
        </w:rPr>
      </w:pPr>
    </w:p>
    <w:p>
      <w:pPr>
        <w:shd w:val="clear" w:fill="FFFFFF" w:themeFill="background1"/>
        <w:rPr>
          <w:rFonts w:hint="eastAsia" w:ascii="宋体" w:hAnsi="宋体" w:eastAsia="宋体" w:cs="宋体"/>
          <w:color w:val="auto"/>
          <w:sz w:val="24"/>
          <w:highlight w:val="none"/>
        </w:rPr>
      </w:pPr>
    </w:p>
    <w:p>
      <w:pPr>
        <w:shd w:val="clear" w:fill="FFFFFF" w:themeFill="background1"/>
        <w:rPr>
          <w:rFonts w:hint="eastAsia" w:ascii="宋体" w:hAnsi="宋体" w:eastAsia="宋体" w:cs="宋体"/>
          <w:color w:val="auto"/>
          <w:sz w:val="24"/>
          <w:highlight w:val="none"/>
        </w:rPr>
      </w:pPr>
    </w:p>
    <w:p>
      <w:pPr>
        <w:shd w:val="clear" w:fill="FFFFFF" w:themeFill="background1"/>
        <w:rPr>
          <w:rFonts w:hint="eastAsia" w:ascii="宋体" w:hAnsi="宋体" w:eastAsia="宋体" w:cs="宋体"/>
          <w:color w:val="auto"/>
          <w:sz w:val="24"/>
          <w:highlight w:val="none"/>
        </w:rPr>
      </w:pPr>
    </w:p>
    <w:p>
      <w:pPr>
        <w:shd w:val="clear" w:fill="FFFFFF" w:themeFill="background1"/>
        <w:rPr>
          <w:rFonts w:hint="eastAsia" w:ascii="宋体" w:hAnsi="宋体" w:eastAsia="宋体" w:cs="宋体"/>
          <w:color w:val="auto"/>
          <w:sz w:val="24"/>
          <w:highlight w:val="none"/>
        </w:rPr>
      </w:pPr>
    </w:p>
    <w:p>
      <w:pPr>
        <w:shd w:val="clear" w:fill="FFFFFF" w:themeFill="background1"/>
        <w:rPr>
          <w:rFonts w:hint="eastAsia" w:ascii="宋体" w:hAnsi="宋体" w:eastAsia="宋体" w:cs="宋体"/>
          <w:color w:val="auto"/>
          <w:sz w:val="24"/>
          <w:highlight w:val="none"/>
        </w:rPr>
      </w:pPr>
    </w:p>
    <w:p>
      <w:pPr>
        <w:shd w:val="clear" w:fill="FFFFFF" w:themeFill="background1"/>
        <w:rPr>
          <w:rFonts w:hint="eastAsia" w:ascii="宋体" w:hAnsi="宋体" w:eastAsia="宋体" w:cs="宋体"/>
          <w:color w:val="auto"/>
          <w:sz w:val="24"/>
          <w:highlight w:val="none"/>
        </w:rPr>
      </w:pPr>
    </w:p>
    <w:p>
      <w:pPr>
        <w:shd w:val="clear" w:fill="FFFFFF" w:themeFill="background1"/>
        <w:rPr>
          <w:rFonts w:hint="eastAsia" w:ascii="宋体" w:hAnsi="宋体" w:eastAsia="宋体" w:cs="宋体"/>
          <w:color w:val="auto"/>
          <w:sz w:val="24"/>
          <w:highlight w:val="none"/>
        </w:rPr>
      </w:pPr>
    </w:p>
    <w:p>
      <w:pPr>
        <w:shd w:val="clear" w:fill="FFFFFF" w:themeFill="background1"/>
        <w:rPr>
          <w:rFonts w:hint="eastAsia" w:ascii="宋体" w:hAnsi="宋体" w:eastAsia="宋体" w:cs="宋体"/>
          <w:color w:val="auto"/>
          <w:sz w:val="24"/>
          <w:highlight w:val="none"/>
        </w:rPr>
      </w:pPr>
    </w:p>
    <w:p>
      <w:pPr>
        <w:shd w:val="clear" w:fill="FFFFFF" w:themeFill="background1"/>
        <w:rPr>
          <w:rFonts w:hint="eastAsia" w:ascii="宋体" w:hAnsi="宋体" w:eastAsia="宋体" w:cs="宋体"/>
          <w:color w:val="auto"/>
          <w:sz w:val="24"/>
          <w:highlight w:val="none"/>
        </w:rPr>
      </w:pPr>
    </w:p>
    <w:p>
      <w:pPr>
        <w:shd w:val="clear" w:fill="FFFFFF" w:themeFill="background1"/>
        <w:rPr>
          <w:rFonts w:hint="eastAsia" w:ascii="宋体" w:hAnsi="宋体" w:eastAsia="宋体" w:cs="宋体"/>
          <w:color w:val="auto"/>
          <w:sz w:val="24"/>
          <w:highlight w:val="none"/>
        </w:rPr>
      </w:pPr>
    </w:p>
    <w:p>
      <w:pPr>
        <w:shd w:val="clear" w:fill="FFFFFF" w:themeFill="background1"/>
        <w:rPr>
          <w:rFonts w:hint="eastAsia" w:ascii="宋体" w:hAnsi="宋体" w:eastAsia="宋体" w:cs="宋体"/>
          <w:color w:val="auto"/>
          <w:sz w:val="24"/>
          <w:highlight w:val="none"/>
        </w:rPr>
      </w:pPr>
    </w:p>
    <w:p>
      <w:pPr>
        <w:shd w:val="clear" w:fill="FFFFFF" w:themeFill="background1"/>
        <w:rPr>
          <w:rFonts w:hint="eastAsia" w:ascii="宋体" w:hAnsi="宋体" w:eastAsia="宋体" w:cs="宋体"/>
          <w:color w:val="auto"/>
          <w:sz w:val="24"/>
          <w:highlight w:val="none"/>
        </w:rPr>
      </w:pPr>
    </w:p>
    <w:p>
      <w:pPr>
        <w:shd w:val="clear" w:fill="FFFFFF" w:themeFill="background1"/>
        <w:rPr>
          <w:rFonts w:hint="eastAsia" w:ascii="宋体" w:hAnsi="宋体" w:eastAsia="宋体" w:cs="宋体"/>
          <w:color w:val="auto"/>
          <w:sz w:val="24"/>
          <w:highlight w:val="none"/>
        </w:rPr>
      </w:pPr>
    </w:p>
    <w:p>
      <w:pPr>
        <w:shd w:val="clear" w:fill="FFFFFF" w:themeFill="background1"/>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28"/>
          <w:szCs w:val="28"/>
          <w:highlight w:val="none"/>
        </w:rPr>
        <w:t>2.5投标报价书</w:t>
      </w:r>
    </w:p>
    <w:p>
      <w:pPr>
        <w:shd w:val="clear" w:fill="FFFFFF" w:themeFill="background1"/>
        <w:rPr>
          <w:rFonts w:hint="eastAsia" w:ascii="宋体" w:hAnsi="宋体" w:eastAsia="宋体" w:cs="宋体"/>
          <w:b/>
          <w:bCs/>
          <w:color w:val="auto"/>
          <w:sz w:val="24"/>
          <w:highlight w:val="none"/>
        </w:rPr>
      </w:pPr>
    </w:p>
    <w:p>
      <w:pPr>
        <w:shd w:val="clear" w:fill="FFFFFF" w:themeFill="background1"/>
        <w:rPr>
          <w:rFonts w:hint="eastAsia" w:ascii="宋体" w:hAnsi="宋体" w:eastAsia="宋体" w:cs="宋体"/>
          <w:b/>
          <w:bCs/>
          <w:color w:val="auto"/>
          <w:sz w:val="24"/>
          <w:highlight w:val="none"/>
        </w:rPr>
      </w:pPr>
    </w:p>
    <w:p>
      <w:pPr>
        <w:shd w:val="clear" w:fill="FFFFFF" w:themeFill="background1"/>
        <w:rPr>
          <w:rFonts w:hint="eastAsia" w:ascii="宋体" w:hAnsi="宋体" w:eastAsia="宋体" w:cs="宋体"/>
          <w:b/>
          <w:bCs/>
          <w:color w:val="auto"/>
          <w:sz w:val="24"/>
          <w:highlight w:val="none"/>
        </w:rPr>
      </w:pPr>
    </w:p>
    <w:p>
      <w:pPr>
        <w:shd w:val="clear" w:fill="FFFFFF" w:themeFill="background1"/>
        <w:rPr>
          <w:rFonts w:hint="eastAsia" w:ascii="宋体" w:hAnsi="宋体" w:eastAsia="宋体" w:cs="宋体"/>
          <w:b/>
          <w:bCs/>
          <w:color w:val="auto"/>
          <w:sz w:val="24"/>
          <w:highlight w:val="none"/>
        </w:rPr>
      </w:pPr>
    </w:p>
    <w:p>
      <w:pPr>
        <w:shd w:val="clear" w:fill="FFFFFF" w:themeFill="background1"/>
        <w:rPr>
          <w:rFonts w:hint="eastAsia" w:ascii="宋体" w:hAnsi="宋体" w:eastAsia="宋体" w:cs="宋体"/>
          <w:b/>
          <w:bCs/>
          <w:color w:val="auto"/>
          <w:sz w:val="24"/>
          <w:highlight w:val="none"/>
        </w:rPr>
      </w:pPr>
    </w:p>
    <w:p>
      <w:pPr>
        <w:shd w:val="clear" w:fill="FFFFFF" w:themeFill="background1"/>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 xml:space="preserve">投  标  总  价 </w:t>
      </w:r>
    </w:p>
    <w:p>
      <w:pPr>
        <w:shd w:val="clear" w:fill="FFFFFF" w:themeFill="background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pPr>
        <w:shd w:val="clear" w:fill="FFFFFF" w:themeFill="background1"/>
        <w:rPr>
          <w:rFonts w:hint="eastAsia" w:ascii="宋体" w:hAnsi="宋体" w:eastAsia="宋体" w:cs="宋体"/>
          <w:color w:val="auto"/>
          <w:sz w:val="24"/>
          <w:highlight w:val="none"/>
        </w:rPr>
      </w:pPr>
    </w:p>
    <w:p>
      <w:pPr>
        <w:shd w:val="clear" w:fill="FFFFFF" w:themeFill="background1"/>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color w:val="auto"/>
          <w:sz w:val="24"/>
          <w:szCs w:val="24"/>
          <w:highlight w:val="none"/>
          <w:u w:val="single"/>
        </w:rPr>
        <w:t xml:space="preserve">                                                  </w:t>
      </w:r>
    </w:p>
    <w:p>
      <w:pPr>
        <w:shd w:val="clear" w:fill="FFFFFF" w:themeFill="background1"/>
        <w:spacing w:line="5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hd w:val="clear" w:fill="FFFFFF" w:themeFill="background1"/>
        <w:spacing w:line="5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投标总价（大写）：</w:t>
      </w:r>
      <w:r>
        <w:rPr>
          <w:rFonts w:hint="eastAsia" w:ascii="宋体" w:hAnsi="宋体" w:eastAsia="宋体" w:cs="宋体"/>
          <w:color w:val="auto"/>
          <w:sz w:val="24"/>
          <w:szCs w:val="24"/>
          <w:highlight w:val="none"/>
          <w:u w:val="single"/>
        </w:rPr>
        <w:t xml:space="preserve">                                           </w:t>
      </w:r>
    </w:p>
    <w:p>
      <w:pPr>
        <w:pStyle w:val="38"/>
        <w:shd w:val="clear" w:fill="FFFFFF" w:themeFill="background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hd w:val="clear" w:fill="FFFFFF" w:themeFill="background1"/>
        <w:rPr>
          <w:rFonts w:hint="eastAsia" w:ascii="宋体" w:hAnsi="宋体" w:eastAsia="宋体" w:cs="宋体"/>
          <w:color w:val="auto"/>
          <w:sz w:val="24"/>
          <w:szCs w:val="24"/>
          <w:highlight w:val="none"/>
        </w:rPr>
      </w:pPr>
    </w:p>
    <w:p>
      <w:pPr>
        <w:shd w:val="clear" w:fill="FFFFFF" w:themeFill="background1"/>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（单位盖章）</w:t>
      </w:r>
    </w:p>
    <w:p>
      <w:pPr>
        <w:shd w:val="clear" w:fill="FFFFFF" w:themeFill="background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hd w:val="clear" w:fill="FFFFFF" w:themeFill="background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w:t>
      </w:r>
    </w:p>
    <w:p>
      <w:pPr>
        <w:shd w:val="clear" w:fill="FFFFFF" w:themeFill="background1"/>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（签字或盖章） </w:t>
      </w:r>
    </w:p>
    <w:p>
      <w:pPr>
        <w:shd w:val="clear" w:fill="FFFFFF" w:themeFill="background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hd w:val="clear" w:fill="FFFFFF" w:themeFill="background1"/>
        <w:rPr>
          <w:rFonts w:hint="eastAsia" w:ascii="宋体" w:hAnsi="宋体" w:eastAsia="宋体" w:cs="宋体"/>
          <w:color w:val="auto"/>
          <w:sz w:val="24"/>
          <w:szCs w:val="24"/>
          <w:highlight w:val="none"/>
        </w:rPr>
      </w:pPr>
    </w:p>
    <w:p>
      <w:pPr>
        <w:shd w:val="clear" w:fill="FFFFFF" w:themeFill="background1"/>
        <w:ind w:firstLine="360" w:firstLineChars="150"/>
        <w:rPr>
          <w:rFonts w:hint="eastAsia" w:ascii="宋体" w:hAnsi="宋体" w:eastAsia="宋体" w:cs="宋体"/>
          <w:color w:val="auto"/>
          <w:sz w:val="24"/>
          <w:szCs w:val="24"/>
          <w:highlight w:val="none"/>
        </w:rPr>
      </w:pPr>
    </w:p>
    <w:p>
      <w:pPr>
        <w:shd w:val="clear" w:fill="FFFFFF" w:themeFill="background1"/>
        <w:rPr>
          <w:rFonts w:hint="eastAsia" w:ascii="宋体" w:hAnsi="宋体" w:eastAsia="宋体" w:cs="宋体"/>
          <w:color w:val="auto"/>
          <w:sz w:val="24"/>
          <w:szCs w:val="24"/>
          <w:highlight w:val="none"/>
        </w:rPr>
      </w:pPr>
    </w:p>
    <w:p>
      <w:pPr>
        <w:shd w:val="clear" w:fill="FFFFFF" w:themeFill="background1"/>
        <w:adjustRightInd w:val="0"/>
        <w:snapToGrid w:val="0"/>
        <w:spacing w:before="62" w:beforeLines="20" w:after="62" w:afterLines="20"/>
        <w:ind w:firstLine="307" w:firstLineChars="1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hd w:val="clear" w:fill="FFFFFF" w:themeFill="background1"/>
        <w:adjustRightInd w:val="0"/>
        <w:snapToGrid w:val="0"/>
        <w:spacing w:before="62" w:beforeLines="20" w:after="62" w:afterLines="20"/>
        <w:ind w:firstLine="308" w:firstLineChars="128"/>
        <w:rPr>
          <w:rFonts w:hint="eastAsia" w:ascii="宋体" w:hAnsi="宋体" w:eastAsia="宋体" w:cs="宋体"/>
          <w:b/>
          <w:bCs/>
          <w:color w:val="auto"/>
          <w:sz w:val="24"/>
          <w:szCs w:val="24"/>
          <w:highlight w:val="none"/>
        </w:rPr>
      </w:pPr>
    </w:p>
    <w:p>
      <w:pPr>
        <w:shd w:val="clear" w:fill="FFFFFF" w:themeFill="background1"/>
        <w:adjustRightInd w:val="0"/>
        <w:snapToGrid w:val="0"/>
        <w:spacing w:line="360" w:lineRule="auto"/>
        <w:jc w:val="left"/>
        <w:rPr>
          <w:rFonts w:hint="eastAsia" w:ascii="宋体" w:hAnsi="宋体" w:eastAsia="宋体" w:cs="宋体"/>
          <w:color w:val="auto"/>
          <w:kern w:val="0"/>
          <w:sz w:val="30"/>
          <w:szCs w:val="30"/>
          <w:highlight w:val="none"/>
        </w:rPr>
      </w:pPr>
    </w:p>
    <w:p>
      <w:pPr>
        <w:shd w:val="clear" w:fill="FFFFFF" w:themeFill="background1"/>
        <w:adjustRightInd w:val="0"/>
        <w:snapToGrid w:val="0"/>
        <w:spacing w:line="360" w:lineRule="auto"/>
        <w:jc w:val="left"/>
        <w:rPr>
          <w:rFonts w:hint="eastAsia" w:ascii="宋体" w:hAnsi="宋体" w:eastAsia="宋体" w:cs="宋体"/>
          <w:color w:val="auto"/>
          <w:kern w:val="0"/>
          <w:sz w:val="30"/>
          <w:szCs w:val="30"/>
          <w:highlight w:val="none"/>
        </w:rPr>
      </w:pPr>
    </w:p>
    <w:p>
      <w:pPr>
        <w:shd w:val="clear" w:fill="FFFFFF" w:themeFill="background1"/>
        <w:adjustRightInd w:val="0"/>
        <w:snapToGrid w:val="0"/>
        <w:spacing w:line="360" w:lineRule="auto"/>
        <w:jc w:val="left"/>
        <w:rPr>
          <w:rFonts w:hint="eastAsia" w:ascii="宋体" w:hAnsi="宋体" w:eastAsia="宋体" w:cs="宋体"/>
          <w:color w:val="auto"/>
          <w:kern w:val="0"/>
          <w:sz w:val="30"/>
          <w:szCs w:val="30"/>
          <w:highlight w:val="none"/>
        </w:rPr>
      </w:pPr>
    </w:p>
    <w:p>
      <w:pPr>
        <w:shd w:val="clear" w:fill="FFFFFF" w:themeFill="background1"/>
        <w:adjustRightInd w:val="0"/>
        <w:snapToGrid w:val="0"/>
        <w:spacing w:line="360" w:lineRule="auto"/>
        <w:jc w:val="left"/>
        <w:rPr>
          <w:rFonts w:hint="eastAsia" w:ascii="宋体" w:hAnsi="宋体" w:eastAsia="宋体" w:cs="宋体"/>
          <w:color w:val="auto"/>
          <w:kern w:val="0"/>
          <w:sz w:val="30"/>
          <w:szCs w:val="30"/>
          <w:highlight w:val="none"/>
        </w:rPr>
      </w:pPr>
    </w:p>
    <w:p>
      <w:pPr>
        <w:shd w:val="clear" w:fill="FFFFFF" w:themeFill="background1"/>
        <w:adjustRightInd w:val="0"/>
        <w:snapToGrid w:val="0"/>
        <w:spacing w:line="360" w:lineRule="auto"/>
        <w:jc w:val="left"/>
        <w:rPr>
          <w:rFonts w:hint="eastAsia" w:ascii="宋体" w:hAnsi="宋体" w:eastAsia="宋体" w:cs="宋体"/>
          <w:color w:val="auto"/>
          <w:kern w:val="0"/>
          <w:sz w:val="30"/>
          <w:szCs w:val="30"/>
          <w:highlight w:val="none"/>
        </w:rPr>
      </w:pPr>
    </w:p>
    <w:p>
      <w:pPr>
        <w:shd w:val="clear" w:fill="FFFFFF" w:themeFill="background1"/>
        <w:adjustRightInd w:val="0"/>
        <w:snapToGrid w:val="0"/>
        <w:spacing w:line="360" w:lineRule="auto"/>
        <w:jc w:val="left"/>
        <w:rPr>
          <w:rFonts w:hint="eastAsia" w:ascii="宋体" w:hAnsi="宋体" w:eastAsia="宋体" w:cs="宋体"/>
          <w:color w:val="auto"/>
          <w:kern w:val="0"/>
          <w:sz w:val="30"/>
          <w:szCs w:val="30"/>
          <w:highlight w:val="none"/>
        </w:rPr>
      </w:pPr>
    </w:p>
    <w:p>
      <w:pPr>
        <w:shd w:val="clear" w:fill="FFFFFF" w:themeFill="background1"/>
        <w:adjustRightInd w:val="0"/>
        <w:snapToGrid w:val="0"/>
        <w:spacing w:line="360" w:lineRule="auto"/>
        <w:jc w:val="left"/>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t xml:space="preserve"> </w:t>
      </w:r>
    </w:p>
    <w:p>
      <w:pPr>
        <w:shd w:val="clear" w:fill="FFFFFF" w:themeFill="background1"/>
        <w:adjustRightInd w:val="0"/>
        <w:snapToGrid w:val="0"/>
        <w:spacing w:line="360" w:lineRule="auto"/>
        <w:jc w:val="left"/>
        <w:rPr>
          <w:rFonts w:hint="eastAsia" w:ascii="宋体" w:hAnsi="宋体" w:eastAsia="宋体" w:cs="宋体"/>
          <w:color w:val="auto"/>
          <w:kern w:val="0"/>
          <w:sz w:val="30"/>
          <w:szCs w:val="30"/>
          <w:highlight w:val="none"/>
        </w:rPr>
      </w:pPr>
    </w:p>
    <w:p>
      <w:pPr>
        <w:shd w:val="clear" w:fill="FFFFFF" w:themeFill="background1"/>
        <w:adjustRightInd w:val="0"/>
        <w:snapToGrid w:val="0"/>
        <w:spacing w:line="360" w:lineRule="auto"/>
        <w:jc w:val="left"/>
        <w:rPr>
          <w:rFonts w:hint="eastAsia" w:ascii="宋体" w:hAnsi="宋体" w:eastAsia="宋体" w:cs="宋体"/>
          <w:color w:val="auto"/>
          <w:kern w:val="0"/>
          <w:sz w:val="30"/>
          <w:szCs w:val="30"/>
          <w:highlight w:val="none"/>
        </w:rPr>
      </w:pPr>
    </w:p>
    <w:p>
      <w:pPr>
        <w:shd w:val="clear" w:fill="FFFFFF" w:themeFill="background1"/>
        <w:jc w:val="center"/>
        <w:outlineLvl w:val="0"/>
        <w:rPr>
          <w:rFonts w:hint="eastAsia" w:ascii="宋体" w:hAnsi="宋体" w:eastAsia="宋体" w:cs="宋体"/>
          <w:b/>
          <w:color w:val="auto"/>
          <w:sz w:val="32"/>
          <w:szCs w:val="32"/>
          <w:highlight w:val="none"/>
        </w:rPr>
      </w:pPr>
      <w:r>
        <w:rPr>
          <w:rFonts w:hint="eastAsia" w:ascii="宋体" w:hAnsi="宋体" w:eastAsia="宋体" w:cs="宋体"/>
          <w:b/>
          <w:bCs/>
          <w:color w:val="auto"/>
          <w:kern w:val="0"/>
          <w:sz w:val="44"/>
          <w:szCs w:val="44"/>
          <w:highlight w:val="none"/>
        </w:rPr>
        <w:br w:type="page"/>
      </w:r>
      <w:r>
        <w:rPr>
          <w:rFonts w:hint="eastAsia" w:ascii="宋体" w:hAnsi="宋体" w:eastAsia="宋体" w:cs="宋体"/>
          <w:b/>
          <w:color w:val="auto"/>
          <w:sz w:val="32"/>
          <w:szCs w:val="32"/>
          <w:highlight w:val="none"/>
        </w:rPr>
        <w:t>投标报价表</w:t>
      </w:r>
    </w:p>
    <w:p>
      <w:pPr>
        <w:shd w:val="clear" w:fill="FFFFFF" w:themeFill="background1"/>
        <w:adjustRightInd w:val="0"/>
        <w:snapToGrid w:val="0"/>
        <w:spacing w:line="360" w:lineRule="auto"/>
        <w:rPr>
          <w:ins w:id="6" w:author="作者" w:date="1970-01-01T08:00:00Z"/>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项目</w:t>
      </w:r>
      <w:ins w:id="7" w:author="作者" w:date="2017-06-14T15:06:00Z">
        <w:r>
          <w:rPr>
            <w:rFonts w:hint="eastAsia" w:ascii="宋体" w:hAnsi="宋体" w:eastAsia="宋体" w:cs="宋体"/>
            <w:color w:val="auto"/>
            <w:kern w:val="0"/>
            <w:sz w:val="24"/>
            <w:szCs w:val="24"/>
            <w:highlight w:val="none"/>
          </w:rPr>
          <w:t xml:space="preserve">名称：                                </w:t>
        </w:r>
      </w:ins>
    </w:p>
    <w:p>
      <w:pPr>
        <w:shd w:val="clear" w:fill="FFFFFF" w:themeFill="background1"/>
        <w:adjustRightInd w:val="0"/>
        <w:snapToGrid w:val="0"/>
        <w:spacing w:line="360" w:lineRule="auto"/>
        <w:jc w:val="left"/>
        <w:rPr>
          <w:ins w:id="8" w:author="作者" w:date="1970-01-01T08:00:00Z"/>
          <w:rFonts w:hint="eastAsia" w:ascii="宋体" w:hAnsi="宋体" w:eastAsia="宋体" w:cs="宋体"/>
          <w:color w:val="auto"/>
          <w:kern w:val="0"/>
          <w:sz w:val="24"/>
          <w:szCs w:val="24"/>
          <w:highlight w:val="none"/>
        </w:rPr>
      </w:pPr>
      <w:ins w:id="9" w:author="作者" w:date="2017-06-14T15:06:00Z">
        <w:r>
          <w:rPr>
            <w:rFonts w:hint="eastAsia" w:ascii="宋体" w:hAnsi="宋体" w:eastAsia="宋体" w:cs="宋体"/>
            <w:color w:val="auto"/>
            <w:kern w:val="0"/>
            <w:sz w:val="24"/>
            <w:szCs w:val="24"/>
            <w:highlight w:val="none"/>
          </w:rPr>
          <w:t>投标人：</w:t>
        </w:r>
      </w:ins>
    </w:p>
    <w:tbl>
      <w:tblPr>
        <w:tblStyle w:val="31"/>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1730"/>
        <w:gridCol w:w="1730"/>
        <w:gridCol w:w="1833"/>
        <w:gridCol w:w="98"/>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ins w:id="10" w:author="作者" w:date="1970-01-01T08:00:00Z"/>
        </w:trPr>
        <w:tc>
          <w:tcPr>
            <w:tcW w:w="1730" w:type="dxa"/>
            <w:vMerge w:val="restart"/>
            <w:vAlign w:val="center"/>
          </w:tcPr>
          <w:p>
            <w:pPr>
              <w:shd w:val="clear" w:fill="FFFFFF" w:themeFill="background1"/>
              <w:adjustRightInd w:val="0"/>
              <w:snapToGrid w:val="0"/>
              <w:jc w:val="center"/>
              <w:rPr>
                <w:ins w:id="11" w:author="作者" w:date="1970-01-01T08:00:00Z"/>
                <w:rFonts w:hint="eastAsia" w:ascii="宋体" w:hAnsi="宋体" w:eastAsia="宋体" w:cs="宋体"/>
                <w:color w:val="auto"/>
                <w:kern w:val="0"/>
                <w:highlight w:val="none"/>
              </w:rPr>
            </w:pPr>
            <w:ins w:id="12" w:author="作者" w:date="2017-06-14T15:06:00Z">
              <w:r>
                <w:rPr>
                  <w:rFonts w:hint="eastAsia" w:ascii="宋体" w:hAnsi="宋体" w:eastAsia="宋体" w:cs="宋体"/>
                  <w:color w:val="auto"/>
                  <w:kern w:val="0"/>
                  <w:highlight w:val="none"/>
                </w:rPr>
                <w:t>投标总报价（元）</w:t>
              </w:r>
            </w:ins>
          </w:p>
        </w:tc>
        <w:tc>
          <w:tcPr>
            <w:tcW w:w="1730" w:type="dxa"/>
            <w:vMerge w:val="restart"/>
            <w:vAlign w:val="center"/>
          </w:tcPr>
          <w:p>
            <w:pPr>
              <w:shd w:val="clear" w:fill="FFFFFF" w:themeFill="background1"/>
              <w:adjustRightInd w:val="0"/>
              <w:snapToGrid w:val="0"/>
              <w:jc w:val="center"/>
              <w:rPr>
                <w:ins w:id="13" w:author="作者" w:date="1970-01-01T08:00:00Z"/>
                <w:rFonts w:hint="eastAsia" w:ascii="宋体" w:hAnsi="宋体" w:eastAsia="宋体" w:cs="宋体"/>
                <w:color w:val="auto"/>
                <w:kern w:val="0"/>
                <w:highlight w:val="none"/>
              </w:rPr>
            </w:pPr>
            <w:ins w:id="14" w:author="作者" w:date="2017-06-14T15:06:00Z">
              <w:r>
                <w:rPr>
                  <w:rFonts w:hint="eastAsia" w:ascii="宋体" w:hAnsi="宋体" w:eastAsia="宋体" w:cs="宋体"/>
                  <w:color w:val="auto"/>
                  <w:kern w:val="0"/>
                  <w:highlight w:val="none"/>
                </w:rPr>
                <w:t>投标总价与最高投标限价的差额（元）</w:t>
              </w:r>
            </w:ins>
          </w:p>
        </w:tc>
        <w:tc>
          <w:tcPr>
            <w:tcW w:w="1730" w:type="dxa"/>
            <w:vMerge w:val="restart"/>
            <w:vAlign w:val="center"/>
          </w:tcPr>
          <w:p>
            <w:pPr>
              <w:shd w:val="clear" w:fill="FFFFFF" w:themeFill="background1"/>
              <w:adjustRightInd w:val="0"/>
              <w:snapToGrid w:val="0"/>
              <w:jc w:val="center"/>
              <w:rPr>
                <w:ins w:id="15" w:author="作者" w:date="1970-01-01T08:00:00Z"/>
                <w:rFonts w:hint="eastAsia" w:ascii="宋体" w:hAnsi="宋体" w:eastAsia="宋体" w:cs="宋体"/>
                <w:color w:val="auto"/>
                <w:kern w:val="0"/>
                <w:highlight w:val="none"/>
              </w:rPr>
            </w:pPr>
            <w:ins w:id="16" w:author="作者" w:date="2017-06-14T15:06:00Z">
              <w:r>
                <w:rPr>
                  <w:rFonts w:hint="eastAsia" w:ascii="宋体" w:hAnsi="宋体" w:eastAsia="宋体" w:cs="宋体"/>
                  <w:color w:val="auto"/>
                  <w:kern w:val="0"/>
                  <w:highlight w:val="none"/>
                </w:rPr>
                <w:t>投标报价浮动率</w:t>
              </w:r>
            </w:ins>
          </w:p>
        </w:tc>
        <w:tc>
          <w:tcPr>
            <w:tcW w:w="4099" w:type="dxa"/>
            <w:gridSpan w:val="3"/>
            <w:vAlign w:val="center"/>
          </w:tcPr>
          <w:p>
            <w:pPr>
              <w:shd w:val="clear" w:fill="FFFFFF" w:themeFill="background1"/>
              <w:adjustRightInd w:val="0"/>
              <w:snapToGrid w:val="0"/>
              <w:jc w:val="center"/>
              <w:rPr>
                <w:ins w:id="17" w:author="作者" w:date="1970-01-01T08:00:00Z"/>
                <w:rFonts w:hint="eastAsia" w:ascii="宋体" w:hAnsi="宋体" w:eastAsia="宋体" w:cs="宋体"/>
                <w:color w:val="auto"/>
                <w:kern w:val="0"/>
                <w:highlight w:val="none"/>
              </w:rPr>
            </w:pPr>
            <w:ins w:id="18" w:author="作者" w:date="2017-06-14T15:06:00Z">
              <w:r>
                <w:rPr>
                  <w:rFonts w:hint="eastAsia" w:ascii="宋体" w:hAnsi="宋体" w:eastAsia="宋体" w:cs="宋体"/>
                  <w:color w:val="auto"/>
                  <w:kern w:val="0"/>
                  <w:highlight w:val="none"/>
                </w:rPr>
                <w:t>投标总报价中</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ins w:id="19" w:author="作者" w:date="1970-01-01T08:00:00Z"/>
        </w:trPr>
        <w:tc>
          <w:tcPr>
            <w:tcW w:w="1730" w:type="dxa"/>
            <w:vMerge w:val="continue"/>
            <w:vAlign w:val="center"/>
          </w:tcPr>
          <w:p>
            <w:pPr>
              <w:shd w:val="clear" w:fill="FFFFFF" w:themeFill="background1"/>
              <w:rPr>
                <w:rFonts w:hint="eastAsia" w:ascii="宋体" w:hAnsi="宋体" w:eastAsia="宋体" w:cs="宋体"/>
                <w:color w:val="auto"/>
                <w:highlight w:val="none"/>
              </w:rPr>
            </w:pPr>
          </w:p>
        </w:tc>
        <w:tc>
          <w:tcPr>
            <w:tcW w:w="1730" w:type="dxa"/>
            <w:vMerge w:val="continue"/>
            <w:vAlign w:val="center"/>
          </w:tcPr>
          <w:p>
            <w:pPr>
              <w:shd w:val="clear" w:fill="FFFFFF" w:themeFill="background1"/>
              <w:rPr>
                <w:rFonts w:hint="eastAsia" w:ascii="宋体" w:hAnsi="宋体" w:eastAsia="宋体" w:cs="宋体"/>
                <w:color w:val="auto"/>
                <w:highlight w:val="none"/>
              </w:rPr>
            </w:pPr>
          </w:p>
        </w:tc>
        <w:tc>
          <w:tcPr>
            <w:tcW w:w="1730" w:type="dxa"/>
            <w:vMerge w:val="continue"/>
            <w:vAlign w:val="center"/>
          </w:tcPr>
          <w:p>
            <w:pPr>
              <w:shd w:val="clear" w:fill="FFFFFF" w:themeFill="background1"/>
              <w:rPr>
                <w:rFonts w:hint="eastAsia" w:ascii="宋体" w:hAnsi="宋体" w:eastAsia="宋体" w:cs="宋体"/>
                <w:color w:val="auto"/>
                <w:highlight w:val="none"/>
              </w:rPr>
            </w:pPr>
          </w:p>
        </w:tc>
        <w:tc>
          <w:tcPr>
            <w:tcW w:w="1931" w:type="dxa"/>
            <w:gridSpan w:val="2"/>
            <w:vAlign w:val="center"/>
          </w:tcPr>
          <w:p>
            <w:pPr>
              <w:shd w:val="clear" w:fill="FFFFFF" w:themeFill="background1"/>
              <w:tabs>
                <w:tab w:val="center" w:pos="813"/>
              </w:tabs>
              <w:adjustRightInd w:val="0"/>
              <w:snapToGrid w:val="0"/>
              <w:jc w:val="center"/>
              <w:rPr>
                <w:ins w:id="20" w:author="作者" w:date="1970-01-01T08:00:00Z"/>
                <w:rFonts w:hint="eastAsia" w:ascii="宋体" w:hAnsi="宋体" w:eastAsia="宋体" w:cs="宋体"/>
                <w:color w:val="auto"/>
                <w:kern w:val="0"/>
                <w:highlight w:val="none"/>
              </w:rPr>
            </w:pPr>
            <w:ins w:id="21" w:author="作者" w:date="2017-06-14T15:06:00Z">
              <w:r>
                <w:rPr>
                  <w:rFonts w:hint="eastAsia" w:ascii="宋体" w:hAnsi="宋体" w:eastAsia="宋体" w:cs="宋体"/>
                  <w:color w:val="auto"/>
                  <w:kern w:val="0"/>
                  <w:highlight w:val="none"/>
                </w:rPr>
                <w:t>暂估价（元）</w:t>
              </w:r>
            </w:ins>
          </w:p>
        </w:tc>
        <w:tc>
          <w:tcPr>
            <w:tcW w:w="2168" w:type="dxa"/>
            <w:vAlign w:val="center"/>
          </w:tcPr>
          <w:p>
            <w:pPr>
              <w:shd w:val="clear" w:fill="FFFFFF" w:themeFill="background1"/>
              <w:adjustRightInd w:val="0"/>
              <w:snapToGrid w:val="0"/>
              <w:jc w:val="center"/>
              <w:rPr>
                <w:ins w:id="22" w:author="作者" w:date="1970-01-01T08:00:00Z"/>
                <w:rFonts w:hint="eastAsia" w:ascii="宋体" w:hAnsi="宋体" w:eastAsia="宋体" w:cs="宋体"/>
                <w:color w:val="auto"/>
                <w:kern w:val="0"/>
                <w:highlight w:val="none"/>
              </w:rPr>
            </w:pPr>
            <w:ins w:id="23" w:author="作者" w:date="2017-06-14T15:06:00Z">
              <w:r>
                <w:rPr>
                  <w:rFonts w:hint="eastAsia" w:ascii="宋体" w:hAnsi="宋体" w:eastAsia="宋体" w:cs="宋体"/>
                  <w:color w:val="auto"/>
                  <w:kern w:val="0"/>
                  <w:highlight w:val="none"/>
                </w:rPr>
                <w:t>暂列金额（元）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ins w:id="24" w:author="作者" w:date="1970-01-01T08:00:00Z"/>
        </w:trPr>
        <w:tc>
          <w:tcPr>
            <w:tcW w:w="1730" w:type="dxa"/>
            <w:vMerge w:val="continue"/>
            <w:vAlign w:val="center"/>
          </w:tcPr>
          <w:p>
            <w:pPr>
              <w:shd w:val="clear" w:fill="FFFFFF" w:themeFill="background1"/>
              <w:rPr>
                <w:rFonts w:hint="eastAsia" w:ascii="宋体" w:hAnsi="宋体" w:eastAsia="宋体" w:cs="宋体"/>
                <w:color w:val="auto"/>
                <w:highlight w:val="none"/>
              </w:rPr>
            </w:pPr>
          </w:p>
        </w:tc>
        <w:tc>
          <w:tcPr>
            <w:tcW w:w="1730" w:type="dxa"/>
            <w:vMerge w:val="continue"/>
            <w:vAlign w:val="center"/>
          </w:tcPr>
          <w:p>
            <w:pPr>
              <w:shd w:val="clear" w:fill="FFFFFF" w:themeFill="background1"/>
              <w:rPr>
                <w:rFonts w:hint="eastAsia" w:ascii="宋体" w:hAnsi="宋体" w:eastAsia="宋体" w:cs="宋体"/>
                <w:color w:val="auto"/>
                <w:highlight w:val="none"/>
              </w:rPr>
            </w:pPr>
          </w:p>
        </w:tc>
        <w:tc>
          <w:tcPr>
            <w:tcW w:w="1730" w:type="dxa"/>
            <w:vMerge w:val="continue"/>
            <w:vAlign w:val="center"/>
          </w:tcPr>
          <w:p>
            <w:pPr>
              <w:shd w:val="clear" w:fill="FFFFFF" w:themeFill="background1"/>
              <w:rPr>
                <w:rFonts w:hint="eastAsia" w:ascii="宋体" w:hAnsi="宋体" w:eastAsia="宋体" w:cs="宋体"/>
                <w:color w:val="auto"/>
                <w:highlight w:val="none"/>
              </w:rPr>
            </w:pPr>
          </w:p>
        </w:tc>
        <w:tc>
          <w:tcPr>
            <w:tcW w:w="4099" w:type="dxa"/>
            <w:gridSpan w:val="3"/>
            <w:vAlign w:val="center"/>
          </w:tcPr>
          <w:p>
            <w:pPr>
              <w:shd w:val="clear" w:fill="FFFFFF" w:themeFill="background1"/>
              <w:adjustRightInd w:val="0"/>
              <w:snapToGrid w:val="0"/>
              <w:rPr>
                <w:ins w:id="25" w:author="作者" w:date="1970-01-01T08:00:00Z"/>
                <w:rFonts w:hint="eastAsia" w:ascii="宋体" w:hAnsi="宋体" w:eastAsia="宋体" w:cs="宋体"/>
                <w:color w:val="auto"/>
                <w:kern w:val="0"/>
                <w:highlight w:val="none"/>
              </w:rPr>
            </w:pPr>
            <w:ins w:id="26" w:author="作者" w:date="2017-06-14T15:06:00Z">
              <w:r>
                <w:rPr>
                  <w:rFonts w:hint="eastAsia" w:ascii="宋体" w:hAnsi="宋体" w:eastAsia="宋体" w:cs="宋体"/>
                  <w:color w:val="auto"/>
                  <w:kern w:val="0"/>
                  <w:highlight w:val="none"/>
                </w:rPr>
                <w:t>此两项金额与最高投标限价中的金额保持一致，不得更改。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ins w:id="27" w:author="作者" w:date="1970-01-01T08:00:00Z"/>
        </w:trPr>
        <w:tc>
          <w:tcPr>
            <w:tcW w:w="1730" w:type="dxa"/>
            <w:vAlign w:val="center"/>
          </w:tcPr>
          <w:p>
            <w:pPr>
              <w:shd w:val="clear" w:fill="FFFFFF" w:themeFill="background1"/>
              <w:adjustRightInd w:val="0"/>
              <w:snapToGrid w:val="0"/>
              <w:rPr>
                <w:ins w:id="28" w:author="作者" w:date="1970-01-01T08:00:00Z"/>
                <w:rFonts w:hint="eastAsia" w:ascii="宋体" w:hAnsi="宋体" w:eastAsia="宋体" w:cs="宋体"/>
                <w:color w:val="auto"/>
                <w:kern w:val="0"/>
                <w:highlight w:val="none"/>
              </w:rPr>
            </w:pPr>
          </w:p>
        </w:tc>
        <w:tc>
          <w:tcPr>
            <w:tcW w:w="1730" w:type="dxa"/>
            <w:vAlign w:val="center"/>
          </w:tcPr>
          <w:p>
            <w:pPr>
              <w:shd w:val="clear" w:fill="FFFFFF" w:themeFill="background1"/>
              <w:adjustRightInd w:val="0"/>
              <w:snapToGrid w:val="0"/>
              <w:rPr>
                <w:ins w:id="29" w:author="作者" w:date="1970-01-01T08:00:00Z"/>
                <w:rFonts w:hint="eastAsia" w:ascii="宋体" w:hAnsi="宋体" w:eastAsia="宋体" w:cs="宋体"/>
                <w:color w:val="auto"/>
                <w:kern w:val="0"/>
                <w:highlight w:val="none"/>
              </w:rPr>
            </w:pPr>
          </w:p>
        </w:tc>
        <w:tc>
          <w:tcPr>
            <w:tcW w:w="1730" w:type="dxa"/>
            <w:vAlign w:val="center"/>
          </w:tcPr>
          <w:p>
            <w:pPr>
              <w:shd w:val="clear" w:fill="FFFFFF" w:themeFill="background1"/>
              <w:adjustRightInd w:val="0"/>
              <w:snapToGrid w:val="0"/>
              <w:rPr>
                <w:ins w:id="30" w:author="作者" w:date="1970-01-01T08:00:00Z"/>
                <w:rFonts w:hint="eastAsia" w:ascii="宋体" w:hAnsi="宋体" w:eastAsia="宋体" w:cs="宋体"/>
                <w:color w:val="auto"/>
                <w:kern w:val="0"/>
                <w:highlight w:val="none"/>
              </w:rPr>
            </w:pPr>
            <w:ins w:id="31" w:author="作者" w:date="2017-06-14T15:06:00Z">
              <w:r>
                <w:rPr>
                  <w:rFonts w:hint="eastAsia" w:ascii="宋体" w:hAnsi="宋体" w:eastAsia="宋体" w:cs="宋体"/>
                  <w:color w:val="auto"/>
                  <w:kern w:val="0"/>
                  <w:highlight w:val="none"/>
                </w:rPr>
                <w:t>（</w:t>
              </w:r>
            </w:ins>
            <w:r>
              <w:rPr>
                <w:rFonts w:hint="eastAsia" w:ascii="宋体" w:hAnsi="宋体" w:eastAsia="宋体" w:cs="宋体"/>
                <w:color w:val="auto"/>
                <w:kern w:val="0"/>
                <w:highlight w:val="none"/>
                <w:lang w:val="en-US" w:eastAsia="zh-CN"/>
              </w:rPr>
              <w:t xml:space="preserve">     </w:t>
            </w:r>
            <w:ins w:id="32" w:author="作者" w:date="2017-06-14T15:06:00Z">
              <w:r>
                <w:rPr>
                  <w:rFonts w:hint="eastAsia" w:ascii="宋体" w:hAnsi="宋体" w:eastAsia="宋体" w:cs="宋体"/>
                  <w:color w:val="auto"/>
                  <w:kern w:val="0"/>
                  <w:highlight w:val="none"/>
                </w:rPr>
                <w:t>）%</w:t>
              </w:r>
            </w:ins>
          </w:p>
        </w:tc>
        <w:tc>
          <w:tcPr>
            <w:tcW w:w="1833" w:type="dxa"/>
            <w:vAlign w:val="center"/>
          </w:tcPr>
          <w:p>
            <w:pPr>
              <w:shd w:val="clear" w:fill="FFFFFF" w:themeFill="background1"/>
              <w:adjustRightInd w:val="0"/>
              <w:snapToGrid w:val="0"/>
              <w:rPr>
                <w:ins w:id="33" w:author="作者" w:date="1970-01-01T08:00:00Z"/>
                <w:rFonts w:hint="eastAsia" w:ascii="宋体" w:hAnsi="宋体" w:eastAsia="宋体" w:cs="宋体"/>
                <w:color w:val="auto"/>
                <w:kern w:val="0"/>
                <w:highlight w:val="none"/>
              </w:rPr>
            </w:pPr>
          </w:p>
        </w:tc>
        <w:tc>
          <w:tcPr>
            <w:tcW w:w="2266" w:type="dxa"/>
            <w:gridSpan w:val="2"/>
            <w:vAlign w:val="center"/>
          </w:tcPr>
          <w:p>
            <w:pPr>
              <w:shd w:val="clear" w:fill="FFFFFF" w:themeFill="background1"/>
              <w:adjustRightInd w:val="0"/>
              <w:snapToGrid w:val="0"/>
              <w:rPr>
                <w:ins w:id="34" w:author="作者" w:date="1970-01-01T08:00:00Z"/>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9289" w:type="dxa"/>
            <w:gridSpan w:val="6"/>
            <w:vAlign w:val="center"/>
          </w:tcPr>
          <w:p>
            <w:pPr>
              <w:shd w:val="clear" w:fill="FFFFFF" w:themeFill="background1"/>
              <w:adjustRightInd w:val="0"/>
              <w:snapToGrid w:val="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承诺：如我单位中标，我方严格按照招标文件的约定进行方中标，我方严格按照招标文件的约定签订合同，且遵守招标文件约定的方式结算。 </w:t>
            </w:r>
          </w:p>
        </w:tc>
      </w:tr>
    </w:tbl>
    <w:p>
      <w:pPr>
        <w:shd w:val="clear" w:fill="FFFFFF" w:themeFill="background1"/>
        <w:adjustRightInd w:val="0"/>
        <w:snapToGrid w:val="0"/>
        <w:spacing w:before="62" w:beforeLines="20" w:after="62" w:afterLines="20"/>
        <w:ind w:left="149" w:leftChars="71"/>
        <w:rPr>
          <w:rFonts w:hint="eastAsia" w:ascii="宋体" w:hAnsi="宋体" w:eastAsia="宋体" w:cs="宋体"/>
          <w:color w:val="auto"/>
          <w:kern w:val="0"/>
          <w:sz w:val="24"/>
          <w:szCs w:val="24"/>
          <w:highlight w:val="none"/>
        </w:rPr>
      </w:pPr>
    </w:p>
    <w:p>
      <w:pPr>
        <w:shd w:val="clear" w:fill="FFFFFF" w:themeFill="background1"/>
        <w:adjustRightInd w:val="0"/>
        <w:snapToGrid w:val="0"/>
        <w:spacing w:before="62" w:beforeLines="20" w:after="62" w:afterLines="20"/>
        <w:ind w:left="149" w:leftChars="71"/>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投标报价浮动率（%）=【投标报价-（ 暂估价、暂列金额）】/【最高投标限价-（暂估价、暂列金额）】*100%（</w:t>
      </w:r>
      <w:r>
        <w:rPr>
          <w:rFonts w:hint="eastAsia" w:ascii="宋体" w:hAnsi="宋体" w:eastAsia="宋体" w:cs="宋体"/>
          <w:b/>
          <w:bCs/>
          <w:color w:val="auto"/>
          <w:sz w:val="24"/>
          <w:szCs w:val="24"/>
          <w:highlight w:val="none"/>
        </w:rPr>
        <w:t>保留两位小数，小数点后第三位四舍五入</w:t>
      </w:r>
      <w:r>
        <w:rPr>
          <w:rFonts w:hint="eastAsia" w:ascii="宋体" w:hAnsi="宋体" w:eastAsia="宋体" w:cs="宋体"/>
          <w:color w:val="auto"/>
          <w:kern w:val="0"/>
          <w:sz w:val="24"/>
          <w:szCs w:val="24"/>
          <w:highlight w:val="none"/>
        </w:rPr>
        <w:t>）</w:t>
      </w:r>
    </w:p>
    <w:p>
      <w:pPr>
        <w:shd w:val="clear" w:fill="FFFFFF" w:themeFill="background1"/>
        <w:adjustRightInd w:val="0"/>
        <w:snapToGrid w:val="0"/>
        <w:spacing w:before="62" w:beforeLines="20" w:after="62" w:afterLines="20"/>
        <w:ind w:firstLine="308" w:firstLineChars="128"/>
        <w:rPr>
          <w:rFonts w:hint="eastAsia" w:ascii="宋体" w:hAnsi="宋体" w:eastAsia="宋体" w:cs="宋体"/>
          <w:b/>
          <w:bCs/>
          <w:color w:val="auto"/>
          <w:sz w:val="24"/>
          <w:szCs w:val="24"/>
          <w:highlight w:val="none"/>
        </w:rPr>
      </w:pPr>
    </w:p>
    <w:p>
      <w:pPr>
        <w:shd w:val="clear" w:fill="FFFFFF" w:themeFill="background1"/>
        <w:adjustRightInd w:val="0"/>
        <w:snapToGrid w:val="0"/>
        <w:spacing w:before="62" w:beforeLines="20" w:after="62" w:afterLines="20"/>
        <w:ind w:firstLine="308" w:firstLineChars="128"/>
        <w:rPr>
          <w:rFonts w:hint="eastAsia" w:ascii="宋体" w:hAnsi="宋体" w:eastAsia="宋体" w:cs="宋体"/>
          <w:b/>
          <w:bCs/>
          <w:color w:val="auto"/>
          <w:sz w:val="24"/>
          <w:szCs w:val="24"/>
          <w:highlight w:val="none"/>
        </w:rPr>
      </w:pPr>
    </w:p>
    <w:p>
      <w:pPr>
        <w:shd w:val="clear" w:fill="FFFFFF" w:themeFill="background1"/>
        <w:adjustRightInd w:val="0"/>
        <w:snapToGrid w:val="0"/>
        <w:spacing w:before="62" w:beforeLines="20" w:after="62" w:afterLines="20"/>
        <w:ind w:firstLine="308" w:firstLineChars="128"/>
        <w:rPr>
          <w:rFonts w:hint="eastAsia" w:ascii="宋体" w:hAnsi="宋体" w:eastAsia="宋体" w:cs="宋体"/>
          <w:b/>
          <w:bCs/>
          <w:color w:val="auto"/>
          <w:sz w:val="24"/>
          <w:szCs w:val="24"/>
          <w:highlight w:val="none"/>
        </w:rPr>
      </w:pPr>
    </w:p>
    <w:p>
      <w:pPr>
        <w:shd w:val="clear" w:fill="FFFFFF" w:themeFill="background1"/>
        <w:adjustRightInd w:val="0"/>
        <w:snapToGrid w:val="0"/>
        <w:spacing w:before="62" w:beforeLines="20" w:after="62" w:afterLines="20"/>
        <w:ind w:firstLine="308" w:firstLineChars="128"/>
        <w:rPr>
          <w:rFonts w:hint="eastAsia" w:ascii="宋体" w:hAnsi="宋体" w:eastAsia="宋体" w:cs="宋体"/>
          <w:b/>
          <w:bCs/>
          <w:color w:val="auto"/>
          <w:sz w:val="24"/>
          <w:szCs w:val="24"/>
          <w:highlight w:val="none"/>
        </w:rPr>
      </w:pPr>
    </w:p>
    <w:p>
      <w:pPr>
        <w:shd w:val="clear" w:fill="FFFFFF" w:themeFill="background1"/>
        <w:adjustRightInd w:val="0"/>
        <w:snapToGrid w:val="0"/>
        <w:spacing w:before="62" w:beforeLines="20" w:after="62" w:afterLines="20"/>
        <w:ind w:firstLine="308" w:firstLineChars="128"/>
        <w:rPr>
          <w:rFonts w:hint="eastAsia" w:ascii="宋体" w:hAnsi="宋体" w:eastAsia="宋体" w:cs="宋体"/>
          <w:b/>
          <w:bCs/>
          <w:color w:val="auto"/>
          <w:sz w:val="24"/>
          <w:szCs w:val="24"/>
          <w:highlight w:val="none"/>
        </w:rPr>
      </w:pPr>
    </w:p>
    <w:p>
      <w:pPr>
        <w:shd w:val="clear" w:fill="FFFFFF" w:themeFill="background1"/>
        <w:adjustRightInd w:val="0"/>
        <w:snapToGrid w:val="0"/>
        <w:spacing w:before="62" w:beforeLines="20" w:after="62" w:afterLines="20"/>
        <w:ind w:firstLine="308" w:firstLineChars="128"/>
        <w:rPr>
          <w:rFonts w:hint="eastAsia" w:ascii="宋体" w:hAnsi="宋体" w:eastAsia="宋体" w:cs="宋体"/>
          <w:b/>
          <w:bCs/>
          <w:color w:val="auto"/>
          <w:sz w:val="24"/>
          <w:szCs w:val="24"/>
          <w:highlight w:val="none"/>
        </w:rPr>
      </w:pPr>
    </w:p>
    <w:p>
      <w:pPr>
        <w:shd w:val="clear" w:fill="FFFFFF" w:themeFill="background1"/>
        <w:adjustRightInd w:val="0"/>
        <w:snapToGrid w:val="0"/>
        <w:spacing w:before="62" w:beforeLines="20" w:after="62" w:afterLines="20"/>
        <w:ind w:firstLine="308" w:firstLineChars="128"/>
        <w:rPr>
          <w:rFonts w:hint="eastAsia" w:ascii="宋体" w:hAnsi="宋体" w:eastAsia="宋体" w:cs="宋体"/>
          <w:b/>
          <w:bCs/>
          <w:color w:val="auto"/>
          <w:sz w:val="24"/>
          <w:szCs w:val="24"/>
          <w:highlight w:val="none"/>
        </w:rPr>
      </w:pPr>
    </w:p>
    <w:p>
      <w:pPr>
        <w:shd w:val="clear" w:fill="FFFFFF" w:themeFill="background1"/>
        <w:adjustRightInd w:val="0"/>
        <w:snapToGrid w:val="0"/>
        <w:spacing w:before="62" w:beforeLines="20" w:after="62" w:afterLines="20"/>
        <w:ind w:firstLine="308" w:firstLineChars="128"/>
        <w:rPr>
          <w:rFonts w:hint="eastAsia" w:ascii="宋体" w:hAnsi="宋体" w:eastAsia="宋体" w:cs="宋体"/>
          <w:b/>
          <w:bCs/>
          <w:color w:val="auto"/>
          <w:sz w:val="24"/>
          <w:szCs w:val="24"/>
          <w:highlight w:val="none"/>
        </w:rPr>
      </w:pPr>
    </w:p>
    <w:p>
      <w:pPr>
        <w:shd w:val="clear" w:fill="FFFFFF" w:themeFill="background1"/>
        <w:adjustRightInd w:val="0"/>
        <w:snapToGrid w:val="0"/>
        <w:spacing w:before="62" w:beforeLines="20" w:after="62" w:afterLines="20"/>
        <w:ind w:firstLine="308" w:firstLineChars="128"/>
        <w:rPr>
          <w:rFonts w:hint="eastAsia" w:ascii="宋体" w:hAnsi="宋体" w:eastAsia="宋体" w:cs="宋体"/>
          <w:b/>
          <w:bCs/>
          <w:color w:val="auto"/>
          <w:sz w:val="24"/>
          <w:szCs w:val="24"/>
          <w:highlight w:val="none"/>
        </w:rPr>
      </w:pPr>
    </w:p>
    <w:p>
      <w:pPr>
        <w:shd w:val="clear" w:fill="FFFFFF" w:themeFill="background1"/>
        <w:adjustRightInd w:val="0"/>
        <w:snapToGrid w:val="0"/>
        <w:spacing w:before="62" w:beforeLines="20" w:after="62" w:afterLines="20"/>
        <w:ind w:firstLine="308" w:firstLineChars="128"/>
        <w:rPr>
          <w:rFonts w:hint="eastAsia" w:ascii="宋体" w:hAnsi="宋体" w:eastAsia="宋体" w:cs="宋体"/>
          <w:b/>
          <w:bCs/>
          <w:color w:val="auto"/>
          <w:sz w:val="24"/>
          <w:szCs w:val="24"/>
          <w:highlight w:val="none"/>
        </w:rPr>
      </w:pPr>
    </w:p>
    <w:p>
      <w:pPr>
        <w:shd w:val="clear" w:fill="FFFFFF" w:themeFill="background1"/>
        <w:adjustRightInd w:val="0"/>
        <w:snapToGrid w:val="0"/>
        <w:spacing w:before="62" w:beforeLines="20" w:after="62" w:afterLines="20"/>
        <w:ind w:firstLine="308" w:firstLineChars="128"/>
        <w:rPr>
          <w:rFonts w:hint="eastAsia" w:ascii="宋体" w:hAnsi="宋体" w:eastAsia="宋体" w:cs="宋体"/>
          <w:b/>
          <w:bCs/>
          <w:color w:val="auto"/>
          <w:sz w:val="24"/>
          <w:szCs w:val="24"/>
          <w:highlight w:val="none"/>
        </w:rPr>
      </w:pPr>
    </w:p>
    <w:p>
      <w:pPr>
        <w:shd w:val="clear" w:fill="FFFFFF" w:themeFill="background1"/>
        <w:adjustRightInd w:val="0"/>
        <w:snapToGrid w:val="0"/>
        <w:spacing w:before="62" w:beforeLines="20" w:after="62" w:afterLines="20"/>
        <w:ind w:firstLine="308" w:firstLineChars="128"/>
        <w:rPr>
          <w:rFonts w:hint="eastAsia" w:ascii="宋体" w:hAnsi="宋体" w:eastAsia="宋体" w:cs="宋体"/>
          <w:b/>
          <w:bCs/>
          <w:color w:val="auto"/>
          <w:sz w:val="24"/>
          <w:szCs w:val="24"/>
          <w:highlight w:val="none"/>
        </w:rPr>
      </w:pPr>
    </w:p>
    <w:p>
      <w:pPr>
        <w:shd w:val="clear" w:fill="FFFFFF" w:themeFill="background1"/>
        <w:rPr>
          <w:rFonts w:hint="eastAsia" w:ascii="宋体" w:hAnsi="宋体" w:eastAsia="宋体" w:cs="宋体"/>
          <w:b/>
          <w:bCs/>
          <w:color w:val="auto"/>
          <w:sz w:val="28"/>
          <w:szCs w:val="28"/>
          <w:highlight w:val="none"/>
        </w:rPr>
      </w:pPr>
      <w:bookmarkStart w:id="464" w:name="_Toc24447"/>
      <w:bookmarkStart w:id="465" w:name="_Toc12041"/>
      <w:r>
        <w:rPr>
          <w:rFonts w:hint="eastAsia" w:ascii="宋体" w:hAnsi="宋体" w:eastAsia="宋体" w:cs="宋体"/>
          <w:color w:val="auto"/>
          <w:highlight w:val="none"/>
        </w:rPr>
        <w:br w:type="page"/>
      </w:r>
      <w:r>
        <w:rPr>
          <w:rFonts w:hint="eastAsia" w:ascii="宋体" w:hAnsi="宋体" w:eastAsia="宋体" w:cs="宋体"/>
          <w:b/>
          <w:bCs/>
          <w:color w:val="auto"/>
          <w:sz w:val="28"/>
          <w:szCs w:val="28"/>
          <w:highlight w:val="none"/>
        </w:rPr>
        <w:t>2.6项目管理机构</w:t>
      </w:r>
      <w:bookmarkEnd w:id="464"/>
      <w:bookmarkEnd w:id="465"/>
    </w:p>
    <w:p>
      <w:pPr>
        <w:shd w:val="clear" w:fill="FFFFFF" w:themeFill="background1"/>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2.6.1项目管理机构组成表</w:t>
      </w:r>
    </w:p>
    <w:p>
      <w:pPr>
        <w:shd w:val="clear" w:fill="FFFFFF" w:themeFill="background1"/>
        <w:jc w:val="center"/>
        <w:outlineLvl w:val="0"/>
        <w:rPr>
          <w:rFonts w:hint="eastAsia" w:ascii="宋体" w:hAnsi="宋体" w:eastAsia="宋体" w:cs="宋体"/>
          <w:b/>
          <w:color w:val="auto"/>
          <w:sz w:val="32"/>
          <w:szCs w:val="32"/>
          <w:highlight w:val="none"/>
        </w:rPr>
      </w:pPr>
    </w:p>
    <w:tbl>
      <w:tblPr>
        <w:tblStyle w:val="31"/>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50"/>
        <w:gridCol w:w="851"/>
        <w:gridCol w:w="850"/>
        <w:gridCol w:w="1276"/>
        <w:gridCol w:w="1134"/>
        <w:gridCol w:w="1068"/>
        <w:gridCol w:w="116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atLeast"/>
          <w:jc w:val="center"/>
        </w:trPr>
        <w:tc>
          <w:tcPr>
            <w:tcW w:w="755" w:type="dxa"/>
            <w:vMerge w:val="restart"/>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850" w:type="dxa"/>
            <w:vMerge w:val="restart"/>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851" w:type="dxa"/>
            <w:vMerge w:val="restart"/>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850" w:type="dxa"/>
            <w:vMerge w:val="restart"/>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4642" w:type="dxa"/>
            <w:gridSpan w:val="4"/>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执业或职业资格证明</w:t>
            </w:r>
          </w:p>
        </w:tc>
        <w:tc>
          <w:tcPr>
            <w:tcW w:w="987" w:type="dxa"/>
            <w:vMerge w:val="restart"/>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755" w:type="dxa"/>
            <w:vMerge w:val="continue"/>
          </w:tcPr>
          <w:p>
            <w:pPr>
              <w:shd w:val="clear" w:fill="FFFFFF" w:themeFill="background1"/>
              <w:rPr>
                <w:rFonts w:hint="eastAsia" w:ascii="宋体" w:hAnsi="宋体" w:eastAsia="宋体" w:cs="宋体"/>
                <w:color w:val="auto"/>
                <w:highlight w:val="none"/>
              </w:rPr>
            </w:pPr>
          </w:p>
        </w:tc>
        <w:tc>
          <w:tcPr>
            <w:tcW w:w="850" w:type="dxa"/>
            <w:vMerge w:val="continue"/>
            <w:vAlign w:val="center"/>
          </w:tcPr>
          <w:p>
            <w:pPr>
              <w:shd w:val="clear" w:fill="FFFFFF" w:themeFill="background1"/>
              <w:rPr>
                <w:rFonts w:hint="eastAsia" w:ascii="宋体" w:hAnsi="宋体" w:eastAsia="宋体" w:cs="宋体"/>
                <w:color w:val="auto"/>
                <w:highlight w:val="none"/>
              </w:rPr>
            </w:pPr>
          </w:p>
        </w:tc>
        <w:tc>
          <w:tcPr>
            <w:tcW w:w="851" w:type="dxa"/>
            <w:vMerge w:val="continue"/>
            <w:vAlign w:val="center"/>
          </w:tcPr>
          <w:p>
            <w:pPr>
              <w:shd w:val="clear" w:fill="FFFFFF" w:themeFill="background1"/>
              <w:rPr>
                <w:rFonts w:hint="eastAsia" w:ascii="宋体" w:hAnsi="宋体" w:eastAsia="宋体" w:cs="宋体"/>
                <w:color w:val="auto"/>
                <w:highlight w:val="none"/>
              </w:rPr>
            </w:pPr>
          </w:p>
        </w:tc>
        <w:tc>
          <w:tcPr>
            <w:tcW w:w="850" w:type="dxa"/>
            <w:vMerge w:val="continue"/>
            <w:vAlign w:val="center"/>
          </w:tcPr>
          <w:p>
            <w:pPr>
              <w:shd w:val="clear" w:fill="FFFFFF" w:themeFill="background1"/>
              <w:rPr>
                <w:rFonts w:hint="eastAsia" w:ascii="宋体" w:hAnsi="宋体" w:eastAsia="宋体" w:cs="宋体"/>
                <w:color w:val="auto"/>
                <w:highlight w:val="none"/>
              </w:rPr>
            </w:pPr>
          </w:p>
        </w:tc>
        <w:tc>
          <w:tcPr>
            <w:tcW w:w="1276"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证书名称</w:t>
            </w:r>
          </w:p>
        </w:tc>
        <w:tc>
          <w:tcPr>
            <w:tcW w:w="1134"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级别</w:t>
            </w:r>
          </w:p>
        </w:tc>
        <w:tc>
          <w:tcPr>
            <w:tcW w:w="1068"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证号</w:t>
            </w:r>
          </w:p>
        </w:tc>
        <w:tc>
          <w:tcPr>
            <w:tcW w:w="1164"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专业</w:t>
            </w:r>
          </w:p>
        </w:tc>
        <w:tc>
          <w:tcPr>
            <w:tcW w:w="987" w:type="dxa"/>
            <w:vMerge w:val="continue"/>
            <w:vAlign w:val="center"/>
          </w:tcPr>
          <w:p>
            <w:pPr>
              <w:shd w:val="clear" w:fill="FFFFFF" w:themeFill="background1"/>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755" w:type="dxa"/>
          </w:tcPr>
          <w:p>
            <w:pPr>
              <w:shd w:val="clear" w:fill="FFFFFF" w:themeFill="background1"/>
              <w:spacing w:line="360" w:lineRule="auto"/>
              <w:jc w:val="center"/>
              <w:rPr>
                <w:rFonts w:hint="eastAsia" w:ascii="宋体" w:hAnsi="宋体" w:eastAsia="宋体" w:cs="宋体"/>
                <w:b/>
                <w:bCs/>
                <w:color w:val="auto"/>
                <w:highlight w:val="none"/>
              </w:rPr>
            </w:pPr>
          </w:p>
        </w:tc>
        <w:tc>
          <w:tcPr>
            <w:tcW w:w="850" w:type="dxa"/>
            <w:vAlign w:val="center"/>
          </w:tcPr>
          <w:p>
            <w:pPr>
              <w:shd w:val="clear" w:fill="FFFFFF" w:themeFill="background1"/>
              <w:spacing w:line="360" w:lineRule="auto"/>
              <w:jc w:val="center"/>
              <w:rPr>
                <w:rFonts w:hint="eastAsia" w:ascii="宋体" w:hAnsi="宋体" w:eastAsia="宋体" w:cs="宋体"/>
                <w:b/>
                <w:bCs/>
                <w:color w:val="auto"/>
                <w:highlight w:val="none"/>
              </w:rPr>
            </w:pPr>
          </w:p>
        </w:tc>
        <w:tc>
          <w:tcPr>
            <w:tcW w:w="851" w:type="dxa"/>
            <w:vAlign w:val="center"/>
          </w:tcPr>
          <w:p>
            <w:pPr>
              <w:shd w:val="clear" w:fill="FFFFFF" w:themeFill="background1"/>
              <w:spacing w:line="360" w:lineRule="auto"/>
              <w:jc w:val="center"/>
              <w:rPr>
                <w:rFonts w:hint="eastAsia" w:ascii="宋体" w:hAnsi="宋体" w:eastAsia="宋体" w:cs="宋体"/>
                <w:b/>
                <w:bCs/>
                <w:color w:val="auto"/>
                <w:highlight w:val="none"/>
              </w:rPr>
            </w:pPr>
          </w:p>
        </w:tc>
        <w:tc>
          <w:tcPr>
            <w:tcW w:w="850" w:type="dxa"/>
            <w:vAlign w:val="center"/>
          </w:tcPr>
          <w:p>
            <w:pPr>
              <w:shd w:val="clear" w:fill="FFFFFF" w:themeFill="background1"/>
              <w:spacing w:line="360" w:lineRule="auto"/>
              <w:jc w:val="center"/>
              <w:rPr>
                <w:rFonts w:hint="eastAsia" w:ascii="宋体" w:hAnsi="宋体" w:eastAsia="宋体" w:cs="宋体"/>
                <w:b/>
                <w:bCs/>
                <w:color w:val="auto"/>
                <w:highlight w:val="none"/>
              </w:rPr>
            </w:pPr>
          </w:p>
        </w:tc>
        <w:tc>
          <w:tcPr>
            <w:tcW w:w="1276" w:type="dxa"/>
            <w:vAlign w:val="center"/>
          </w:tcPr>
          <w:p>
            <w:pPr>
              <w:shd w:val="clear" w:fill="FFFFFF" w:themeFill="background1"/>
              <w:spacing w:line="360" w:lineRule="auto"/>
              <w:jc w:val="center"/>
              <w:rPr>
                <w:rFonts w:hint="eastAsia" w:ascii="宋体" w:hAnsi="宋体" w:eastAsia="宋体" w:cs="宋体"/>
                <w:b/>
                <w:bCs/>
                <w:color w:val="auto"/>
                <w:highlight w:val="none"/>
              </w:rPr>
            </w:pPr>
          </w:p>
        </w:tc>
        <w:tc>
          <w:tcPr>
            <w:tcW w:w="1134" w:type="dxa"/>
            <w:vAlign w:val="center"/>
          </w:tcPr>
          <w:p>
            <w:pPr>
              <w:shd w:val="clear" w:fill="FFFFFF" w:themeFill="background1"/>
              <w:spacing w:line="360" w:lineRule="auto"/>
              <w:jc w:val="center"/>
              <w:rPr>
                <w:rFonts w:hint="eastAsia" w:ascii="宋体" w:hAnsi="宋体" w:eastAsia="宋体" w:cs="宋体"/>
                <w:b/>
                <w:bCs/>
                <w:color w:val="auto"/>
                <w:highlight w:val="none"/>
              </w:rPr>
            </w:pPr>
          </w:p>
        </w:tc>
        <w:tc>
          <w:tcPr>
            <w:tcW w:w="1068" w:type="dxa"/>
            <w:vAlign w:val="center"/>
          </w:tcPr>
          <w:p>
            <w:pPr>
              <w:shd w:val="clear" w:fill="FFFFFF" w:themeFill="background1"/>
              <w:spacing w:line="360" w:lineRule="auto"/>
              <w:jc w:val="center"/>
              <w:rPr>
                <w:rFonts w:hint="eastAsia" w:ascii="宋体" w:hAnsi="宋体" w:eastAsia="宋体" w:cs="宋体"/>
                <w:b/>
                <w:bCs/>
                <w:color w:val="auto"/>
                <w:highlight w:val="none"/>
              </w:rPr>
            </w:pPr>
          </w:p>
        </w:tc>
        <w:tc>
          <w:tcPr>
            <w:tcW w:w="1164" w:type="dxa"/>
            <w:vAlign w:val="center"/>
          </w:tcPr>
          <w:p>
            <w:pPr>
              <w:shd w:val="clear" w:fill="FFFFFF" w:themeFill="background1"/>
              <w:spacing w:line="360" w:lineRule="auto"/>
              <w:jc w:val="center"/>
              <w:rPr>
                <w:rFonts w:hint="eastAsia" w:ascii="宋体" w:hAnsi="宋体" w:eastAsia="宋体" w:cs="宋体"/>
                <w:b/>
                <w:bCs/>
                <w:color w:val="auto"/>
                <w:highlight w:val="none"/>
              </w:rPr>
            </w:pPr>
          </w:p>
        </w:tc>
        <w:tc>
          <w:tcPr>
            <w:tcW w:w="987" w:type="dxa"/>
            <w:vAlign w:val="center"/>
          </w:tcPr>
          <w:p>
            <w:pPr>
              <w:shd w:val="clear" w:fill="FFFFFF" w:themeFill="background1"/>
              <w:spacing w:line="360" w:lineRule="auto"/>
              <w:jc w:val="center"/>
              <w:rPr>
                <w:rFonts w:hint="eastAsia"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755" w:type="dxa"/>
          </w:tcPr>
          <w:p>
            <w:pPr>
              <w:shd w:val="clear" w:fill="FFFFFF" w:themeFill="background1"/>
              <w:spacing w:line="360" w:lineRule="auto"/>
              <w:jc w:val="center"/>
              <w:rPr>
                <w:rFonts w:hint="eastAsia" w:ascii="宋体" w:hAnsi="宋体" w:eastAsia="宋体" w:cs="宋体"/>
                <w:b/>
                <w:bCs/>
                <w:color w:val="auto"/>
                <w:highlight w:val="none"/>
              </w:rPr>
            </w:pPr>
          </w:p>
        </w:tc>
        <w:tc>
          <w:tcPr>
            <w:tcW w:w="850" w:type="dxa"/>
          </w:tcPr>
          <w:p>
            <w:pPr>
              <w:shd w:val="clear" w:fill="FFFFFF" w:themeFill="background1"/>
              <w:spacing w:line="360" w:lineRule="auto"/>
              <w:jc w:val="center"/>
              <w:rPr>
                <w:rFonts w:hint="eastAsia" w:ascii="宋体" w:hAnsi="宋体" w:eastAsia="宋体" w:cs="宋体"/>
                <w:b/>
                <w:bCs/>
                <w:color w:val="auto"/>
                <w:highlight w:val="none"/>
              </w:rPr>
            </w:pPr>
          </w:p>
        </w:tc>
        <w:tc>
          <w:tcPr>
            <w:tcW w:w="851" w:type="dxa"/>
          </w:tcPr>
          <w:p>
            <w:pPr>
              <w:shd w:val="clear" w:fill="FFFFFF" w:themeFill="background1"/>
              <w:spacing w:line="360" w:lineRule="auto"/>
              <w:jc w:val="center"/>
              <w:rPr>
                <w:rFonts w:hint="eastAsia" w:ascii="宋体" w:hAnsi="宋体" w:eastAsia="宋体" w:cs="宋体"/>
                <w:b/>
                <w:bCs/>
                <w:color w:val="auto"/>
                <w:highlight w:val="none"/>
              </w:rPr>
            </w:pPr>
          </w:p>
        </w:tc>
        <w:tc>
          <w:tcPr>
            <w:tcW w:w="850" w:type="dxa"/>
          </w:tcPr>
          <w:p>
            <w:pPr>
              <w:shd w:val="clear" w:fill="FFFFFF" w:themeFill="background1"/>
              <w:spacing w:line="360" w:lineRule="auto"/>
              <w:jc w:val="center"/>
              <w:rPr>
                <w:rFonts w:hint="eastAsia" w:ascii="宋体" w:hAnsi="宋体" w:eastAsia="宋体" w:cs="宋体"/>
                <w:b/>
                <w:bCs/>
                <w:color w:val="auto"/>
                <w:highlight w:val="none"/>
              </w:rPr>
            </w:pPr>
          </w:p>
        </w:tc>
        <w:tc>
          <w:tcPr>
            <w:tcW w:w="1276" w:type="dxa"/>
          </w:tcPr>
          <w:p>
            <w:pPr>
              <w:shd w:val="clear" w:fill="FFFFFF" w:themeFill="background1"/>
              <w:spacing w:line="360" w:lineRule="auto"/>
              <w:jc w:val="center"/>
              <w:rPr>
                <w:rFonts w:hint="eastAsia" w:ascii="宋体" w:hAnsi="宋体" w:eastAsia="宋体" w:cs="宋体"/>
                <w:b/>
                <w:bCs/>
                <w:color w:val="auto"/>
                <w:highlight w:val="none"/>
              </w:rPr>
            </w:pPr>
          </w:p>
        </w:tc>
        <w:tc>
          <w:tcPr>
            <w:tcW w:w="1134" w:type="dxa"/>
          </w:tcPr>
          <w:p>
            <w:pPr>
              <w:shd w:val="clear" w:fill="FFFFFF" w:themeFill="background1"/>
              <w:spacing w:line="360" w:lineRule="auto"/>
              <w:jc w:val="center"/>
              <w:rPr>
                <w:rFonts w:hint="eastAsia" w:ascii="宋体" w:hAnsi="宋体" w:eastAsia="宋体" w:cs="宋体"/>
                <w:b/>
                <w:bCs/>
                <w:color w:val="auto"/>
                <w:highlight w:val="none"/>
              </w:rPr>
            </w:pPr>
          </w:p>
        </w:tc>
        <w:tc>
          <w:tcPr>
            <w:tcW w:w="1068" w:type="dxa"/>
          </w:tcPr>
          <w:p>
            <w:pPr>
              <w:shd w:val="clear" w:fill="FFFFFF" w:themeFill="background1"/>
              <w:spacing w:line="360" w:lineRule="auto"/>
              <w:jc w:val="center"/>
              <w:rPr>
                <w:rFonts w:hint="eastAsia" w:ascii="宋体" w:hAnsi="宋体" w:eastAsia="宋体" w:cs="宋体"/>
                <w:b/>
                <w:bCs/>
                <w:color w:val="auto"/>
                <w:highlight w:val="none"/>
              </w:rPr>
            </w:pPr>
          </w:p>
        </w:tc>
        <w:tc>
          <w:tcPr>
            <w:tcW w:w="1164" w:type="dxa"/>
          </w:tcPr>
          <w:p>
            <w:pPr>
              <w:shd w:val="clear" w:fill="FFFFFF" w:themeFill="background1"/>
              <w:spacing w:line="360" w:lineRule="auto"/>
              <w:jc w:val="center"/>
              <w:rPr>
                <w:rFonts w:hint="eastAsia" w:ascii="宋体" w:hAnsi="宋体" w:eastAsia="宋体" w:cs="宋体"/>
                <w:b/>
                <w:bCs/>
                <w:color w:val="auto"/>
                <w:highlight w:val="none"/>
              </w:rPr>
            </w:pPr>
          </w:p>
        </w:tc>
        <w:tc>
          <w:tcPr>
            <w:tcW w:w="987" w:type="dxa"/>
          </w:tcPr>
          <w:p>
            <w:pPr>
              <w:shd w:val="clear" w:fill="FFFFFF" w:themeFill="background1"/>
              <w:spacing w:line="360" w:lineRule="auto"/>
              <w:jc w:val="center"/>
              <w:rPr>
                <w:rFonts w:hint="eastAsia"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755" w:type="dxa"/>
          </w:tcPr>
          <w:p>
            <w:pPr>
              <w:shd w:val="clear" w:fill="FFFFFF" w:themeFill="background1"/>
              <w:spacing w:line="360" w:lineRule="auto"/>
              <w:jc w:val="center"/>
              <w:rPr>
                <w:rFonts w:hint="eastAsia" w:ascii="宋体" w:hAnsi="宋体" w:eastAsia="宋体" w:cs="宋体"/>
                <w:b/>
                <w:bCs/>
                <w:color w:val="auto"/>
                <w:highlight w:val="none"/>
              </w:rPr>
            </w:pPr>
          </w:p>
        </w:tc>
        <w:tc>
          <w:tcPr>
            <w:tcW w:w="850" w:type="dxa"/>
          </w:tcPr>
          <w:p>
            <w:pPr>
              <w:shd w:val="clear" w:fill="FFFFFF" w:themeFill="background1"/>
              <w:spacing w:line="360" w:lineRule="auto"/>
              <w:jc w:val="center"/>
              <w:rPr>
                <w:rFonts w:hint="eastAsia" w:ascii="宋体" w:hAnsi="宋体" w:eastAsia="宋体" w:cs="宋体"/>
                <w:b/>
                <w:bCs/>
                <w:color w:val="auto"/>
                <w:highlight w:val="none"/>
              </w:rPr>
            </w:pPr>
          </w:p>
        </w:tc>
        <w:tc>
          <w:tcPr>
            <w:tcW w:w="851" w:type="dxa"/>
          </w:tcPr>
          <w:p>
            <w:pPr>
              <w:shd w:val="clear" w:fill="FFFFFF" w:themeFill="background1"/>
              <w:spacing w:line="360" w:lineRule="auto"/>
              <w:jc w:val="center"/>
              <w:rPr>
                <w:rFonts w:hint="eastAsia" w:ascii="宋体" w:hAnsi="宋体" w:eastAsia="宋体" w:cs="宋体"/>
                <w:b/>
                <w:bCs/>
                <w:color w:val="auto"/>
                <w:highlight w:val="none"/>
              </w:rPr>
            </w:pPr>
          </w:p>
        </w:tc>
        <w:tc>
          <w:tcPr>
            <w:tcW w:w="850" w:type="dxa"/>
          </w:tcPr>
          <w:p>
            <w:pPr>
              <w:shd w:val="clear" w:fill="FFFFFF" w:themeFill="background1"/>
              <w:spacing w:line="360" w:lineRule="auto"/>
              <w:jc w:val="center"/>
              <w:rPr>
                <w:rFonts w:hint="eastAsia" w:ascii="宋体" w:hAnsi="宋体" w:eastAsia="宋体" w:cs="宋体"/>
                <w:b/>
                <w:bCs/>
                <w:color w:val="auto"/>
                <w:highlight w:val="none"/>
              </w:rPr>
            </w:pPr>
          </w:p>
        </w:tc>
        <w:tc>
          <w:tcPr>
            <w:tcW w:w="1276" w:type="dxa"/>
          </w:tcPr>
          <w:p>
            <w:pPr>
              <w:shd w:val="clear" w:fill="FFFFFF" w:themeFill="background1"/>
              <w:spacing w:line="360" w:lineRule="auto"/>
              <w:jc w:val="center"/>
              <w:rPr>
                <w:rFonts w:hint="eastAsia" w:ascii="宋体" w:hAnsi="宋体" w:eastAsia="宋体" w:cs="宋体"/>
                <w:b/>
                <w:bCs/>
                <w:color w:val="auto"/>
                <w:highlight w:val="none"/>
              </w:rPr>
            </w:pPr>
          </w:p>
        </w:tc>
        <w:tc>
          <w:tcPr>
            <w:tcW w:w="1134" w:type="dxa"/>
          </w:tcPr>
          <w:p>
            <w:pPr>
              <w:shd w:val="clear" w:fill="FFFFFF" w:themeFill="background1"/>
              <w:spacing w:line="360" w:lineRule="auto"/>
              <w:jc w:val="center"/>
              <w:rPr>
                <w:rFonts w:hint="eastAsia" w:ascii="宋体" w:hAnsi="宋体" w:eastAsia="宋体" w:cs="宋体"/>
                <w:b/>
                <w:bCs/>
                <w:color w:val="auto"/>
                <w:highlight w:val="none"/>
              </w:rPr>
            </w:pPr>
          </w:p>
        </w:tc>
        <w:tc>
          <w:tcPr>
            <w:tcW w:w="1068" w:type="dxa"/>
          </w:tcPr>
          <w:p>
            <w:pPr>
              <w:shd w:val="clear" w:fill="FFFFFF" w:themeFill="background1"/>
              <w:spacing w:line="360" w:lineRule="auto"/>
              <w:jc w:val="center"/>
              <w:rPr>
                <w:rFonts w:hint="eastAsia" w:ascii="宋体" w:hAnsi="宋体" w:eastAsia="宋体" w:cs="宋体"/>
                <w:b/>
                <w:bCs/>
                <w:color w:val="auto"/>
                <w:highlight w:val="none"/>
              </w:rPr>
            </w:pPr>
          </w:p>
        </w:tc>
        <w:tc>
          <w:tcPr>
            <w:tcW w:w="1164" w:type="dxa"/>
          </w:tcPr>
          <w:p>
            <w:pPr>
              <w:shd w:val="clear" w:fill="FFFFFF" w:themeFill="background1"/>
              <w:spacing w:line="360" w:lineRule="auto"/>
              <w:jc w:val="center"/>
              <w:rPr>
                <w:rFonts w:hint="eastAsia" w:ascii="宋体" w:hAnsi="宋体" w:eastAsia="宋体" w:cs="宋体"/>
                <w:b/>
                <w:bCs/>
                <w:color w:val="auto"/>
                <w:highlight w:val="none"/>
              </w:rPr>
            </w:pPr>
          </w:p>
        </w:tc>
        <w:tc>
          <w:tcPr>
            <w:tcW w:w="987" w:type="dxa"/>
          </w:tcPr>
          <w:p>
            <w:pPr>
              <w:shd w:val="clear" w:fill="FFFFFF" w:themeFill="background1"/>
              <w:spacing w:line="360" w:lineRule="auto"/>
              <w:jc w:val="center"/>
              <w:rPr>
                <w:rFonts w:hint="eastAsia"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80" w:hRule="atLeast"/>
          <w:jc w:val="center"/>
        </w:trPr>
        <w:tc>
          <w:tcPr>
            <w:tcW w:w="755" w:type="dxa"/>
          </w:tcPr>
          <w:p>
            <w:pPr>
              <w:shd w:val="clear" w:fill="FFFFFF" w:themeFill="background1"/>
              <w:spacing w:line="360" w:lineRule="auto"/>
              <w:jc w:val="center"/>
              <w:rPr>
                <w:rFonts w:hint="eastAsia" w:ascii="宋体" w:hAnsi="宋体" w:eastAsia="宋体" w:cs="宋体"/>
                <w:b/>
                <w:bCs/>
                <w:color w:val="auto"/>
                <w:highlight w:val="none"/>
              </w:rPr>
            </w:pPr>
          </w:p>
        </w:tc>
        <w:tc>
          <w:tcPr>
            <w:tcW w:w="850" w:type="dxa"/>
          </w:tcPr>
          <w:p>
            <w:pPr>
              <w:shd w:val="clear" w:fill="FFFFFF" w:themeFill="background1"/>
              <w:spacing w:line="360" w:lineRule="auto"/>
              <w:jc w:val="center"/>
              <w:rPr>
                <w:rFonts w:hint="eastAsia" w:ascii="宋体" w:hAnsi="宋体" w:eastAsia="宋体" w:cs="宋体"/>
                <w:b/>
                <w:bCs/>
                <w:color w:val="auto"/>
                <w:highlight w:val="none"/>
              </w:rPr>
            </w:pPr>
          </w:p>
        </w:tc>
        <w:tc>
          <w:tcPr>
            <w:tcW w:w="851" w:type="dxa"/>
          </w:tcPr>
          <w:p>
            <w:pPr>
              <w:shd w:val="clear" w:fill="FFFFFF" w:themeFill="background1"/>
              <w:spacing w:line="360" w:lineRule="auto"/>
              <w:jc w:val="center"/>
              <w:rPr>
                <w:rFonts w:hint="eastAsia" w:ascii="宋体" w:hAnsi="宋体" w:eastAsia="宋体" w:cs="宋体"/>
                <w:b/>
                <w:bCs/>
                <w:color w:val="auto"/>
                <w:highlight w:val="none"/>
              </w:rPr>
            </w:pPr>
          </w:p>
        </w:tc>
        <w:tc>
          <w:tcPr>
            <w:tcW w:w="850" w:type="dxa"/>
          </w:tcPr>
          <w:p>
            <w:pPr>
              <w:shd w:val="clear" w:fill="FFFFFF" w:themeFill="background1"/>
              <w:spacing w:line="360" w:lineRule="auto"/>
              <w:jc w:val="center"/>
              <w:rPr>
                <w:rFonts w:hint="eastAsia" w:ascii="宋体" w:hAnsi="宋体" w:eastAsia="宋体" w:cs="宋体"/>
                <w:b/>
                <w:bCs/>
                <w:color w:val="auto"/>
                <w:highlight w:val="none"/>
              </w:rPr>
            </w:pPr>
          </w:p>
        </w:tc>
        <w:tc>
          <w:tcPr>
            <w:tcW w:w="1276" w:type="dxa"/>
          </w:tcPr>
          <w:p>
            <w:pPr>
              <w:shd w:val="clear" w:fill="FFFFFF" w:themeFill="background1"/>
              <w:spacing w:line="360" w:lineRule="auto"/>
              <w:jc w:val="center"/>
              <w:rPr>
                <w:rFonts w:hint="eastAsia" w:ascii="宋体" w:hAnsi="宋体" w:eastAsia="宋体" w:cs="宋体"/>
                <w:b/>
                <w:bCs/>
                <w:color w:val="auto"/>
                <w:highlight w:val="none"/>
              </w:rPr>
            </w:pPr>
          </w:p>
        </w:tc>
        <w:tc>
          <w:tcPr>
            <w:tcW w:w="1134" w:type="dxa"/>
          </w:tcPr>
          <w:p>
            <w:pPr>
              <w:shd w:val="clear" w:fill="FFFFFF" w:themeFill="background1"/>
              <w:spacing w:line="360" w:lineRule="auto"/>
              <w:jc w:val="center"/>
              <w:rPr>
                <w:rFonts w:hint="eastAsia" w:ascii="宋体" w:hAnsi="宋体" w:eastAsia="宋体" w:cs="宋体"/>
                <w:b/>
                <w:bCs/>
                <w:color w:val="auto"/>
                <w:highlight w:val="none"/>
              </w:rPr>
            </w:pPr>
          </w:p>
        </w:tc>
        <w:tc>
          <w:tcPr>
            <w:tcW w:w="1068" w:type="dxa"/>
          </w:tcPr>
          <w:p>
            <w:pPr>
              <w:shd w:val="clear" w:fill="FFFFFF" w:themeFill="background1"/>
              <w:spacing w:line="360" w:lineRule="auto"/>
              <w:jc w:val="center"/>
              <w:rPr>
                <w:rFonts w:hint="eastAsia" w:ascii="宋体" w:hAnsi="宋体" w:eastAsia="宋体" w:cs="宋体"/>
                <w:b/>
                <w:bCs/>
                <w:color w:val="auto"/>
                <w:highlight w:val="none"/>
              </w:rPr>
            </w:pPr>
          </w:p>
        </w:tc>
        <w:tc>
          <w:tcPr>
            <w:tcW w:w="1164" w:type="dxa"/>
          </w:tcPr>
          <w:p>
            <w:pPr>
              <w:shd w:val="clear" w:fill="FFFFFF" w:themeFill="background1"/>
              <w:spacing w:line="360" w:lineRule="auto"/>
              <w:jc w:val="center"/>
              <w:rPr>
                <w:rFonts w:hint="eastAsia" w:ascii="宋体" w:hAnsi="宋体" w:eastAsia="宋体" w:cs="宋体"/>
                <w:b/>
                <w:bCs/>
                <w:color w:val="auto"/>
                <w:highlight w:val="none"/>
              </w:rPr>
            </w:pPr>
          </w:p>
        </w:tc>
        <w:tc>
          <w:tcPr>
            <w:tcW w:w="987" w:type="dxa"/>
          </w:tcPr>
          <w:p>
            <w:pPr>
              <w:shd w:val="clear" w:fill="FFFFFF" w:themeFill="background1"/>
              <w:spacing w:line="360" w:lineRule="auto"/>
              <w:jc w:val="center"/>
              <w:rPr>
                <w:rFonts w:hint="eastAsia"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755" w:type="dxa"/>
          </w:tcPr>
          <w:p>
            <w:pPr>
              <w:shd w:val="clear" w:fill="FFFFFF" w:themeFill="background1"/>
              <w:spacing w:line="360" w:lineRule="auto"/>
              <w:jc w:val="center"/>
              <w:rPr>
                <w:rFonts w:hint="eastAsia" w:ascii="宋体" w:hAnsi="宋体" w:eastAsia="宋体" w:cs="宋体"/>
                <w:b/>
                <w:bCs/>
                <w:color w:val="auto"/>
                <w:highlight w:val="none"/>
              </w:rPr>
            </w:pPr>
          </w:p>
        </w:tc>
        <w:tc>
          <w:tcPr>
            <w:tcW w:w="850" w:type="dxa"/>
          </w:tcPr>
          <w:p>
            <w:pPr>
              <w:shd w:val="clear" w:fill="FFFFFF" w:themeFill="background1"/>
              <w:spacing w:line="360" w:lineRule="auto"/>
              <w:jc w:val="center"/>
              <w:rPr>
                <w:rFonts w:hint="eastAsia" w:ascii="宋体" w:hAnsi="宋体" w:eastAsia="宋体" w:cs="宋体"/>
                <w:b/>
                <w:bCs/>
                <w:color w:val="auto"/>
                <w:highlight w:val="none"/>
              </w:rPr>
            </w:pPr>
          </w:p>
        </w:tc>
        <w:tc>
          <w:tcPr>
            <w:tcW w:w="851" w:type="dxa"/>
          </w:tcPr>
          <w:p>
            <w:pPr>
              <w:shd w:val="clear" w:fill="FFFFFF" w:themeFill="background1"/>
              <w:spacing w:line="360" w:lineRule="auto"/>
              <w:jc w:val="center"/>
              <w:rPr>
                <w:rFonts w:hint="eastAsia" w:ascii="宋体" w:hAnsi="宋体" w:eastAsia="宋体" w:cs="宋体"/>
                <w:b/>
                <w:bCs/>
                <w:color w:val="auto"/>
                <w:highlight w:val="none"/>
              </w:rPr>
            </w:pPr>
          </w:p>
        </w:tc>
        <w:tc>
          <w:tcPr>
            <w:tcW w:w="850" w:type="dxa"/>
          </w:tcPr>
          <w:p>
            <w:pPr>
              <w:shd w:val="clear" w:fill="FFFFFF" w:themeFill="background1"/>
              <w:spacing w:line="360" w:lineRule="auto"/>
              <w:jc w:val="center"/>
              <w:rPr>
                <w:rFonts w:hint="eastAsia" w:ascii="宋体" w:hAnsi="宋体" w:eastAsia="宋体" w:cs="宋体"/>
                <w:b/>
                <w:bCs/>
                <w:color w:val="auto"/>
                <w:highlight w:val="none"/>
              </w:rPr>
            </w:pPr>
          </w:p>
        </w:tc>
        <w:tc>
          <w:tcPr>
            <w:tcW w:w="1276" w:type="dxa"/>
          </w:tcPr>
          <w:p>
            <w:pPr>
              <w:shd w:val="clear" w:fill="FFFFFF" w:themeFill="background1"/>
              <w:spacing w:line="360" w:lineRule="auto"/>
              <w:jc w:val="center"/>
              <w:rPr>
                <w:rFonts w:hint="eastAsia" w:ascii="宋体" w:hAnsi="宋体" w:eastAsia="宋体" w:cs="宋体"/>
                <w:b/>
                <w:bCs/>
                <w:color w:val="auto"/>
                <w:highlight w:val="none"/>
              </w:rPr>
            </w:pPr>
          </w:p>
        </w:tc>
        <w:tc>
          <w:tcPr>
            <w:tcW w:w="1134" w:type="dxa"/>
          </w:tcPr>
          <w:p>
            <w:pPr>
              <w:shd w:val="clear" w:fill="FFFFFF" w:themeFill="background1"/>
              <w:spacing w:line="360" w:lineRule="auto"/>
              <w:jc w:val="center"/>
              <w:rPr>
                <w:rFonts w:hint="eastAsia" w:ascii="宋体" w:hAnsi="宋体" w:eastAsia="宋体" w:cs="宋体"/>
                <w:b/>
                <w:bCs/>
                <w:color w:val="auto"/>
                <w:highlight w:val="none"/>
              </w:rPr>
            </w:pPr>
          </w:p>
        </w:tc>
        <w:tc>
          <w:tcPr>
            <w:tcW w:w="1068" w:type="dxa"/>
          </w:tcPr>
          <w:p>
            <w:pPr>
              <w:shd w:val="clear" w:fill="FFFFFF" w:themeFill="background1"/>
              <w:spacing w:line="360" w:lineRule="auto"/>
              <w:jc w:val="center"/>
              <w:rPr>
                <w:rFonts w:hint="eastAsia" w:ascii="宋体" w:hAnsi="宋体" w:eastAsia="宋体" w:cs="宋体"/>
                <w:b/>
                <w:bCs/>
                <w:color w:val="auto"/>
                <w:highlight w:val="none"/>
              </w:rPr>
            </w:pPr>
          </w:p>
        </w:tc>
        <w:tc>
          <w:tcPr>
            <w:tcW w:w="1164" w:type="dxa"/>
          </w:tcPr>
          <w:p>
            <w:pPr>
              <w:shd w:val="clear" w:fill="FFFFFF" w:themeFill="background1"/>
              <w:spacing w:line="360" w:lineRule="auto"/>
              <w:jc w:val="center"/>
              <w:rPr>
                <w:rFonts w:hint="eastAsia" w:ascii="宋体" w:hAnsi="宋体" w:eastAsia="宋体" w:cs="宋体"/>
                <w:b/>
                <w:bCs/>
                <w:color w:val="auto"/>
                <w:highlight w:val="none"/>
              </w:rPr>
            </w:pPr>
          </w:p>
        </w:tc>
        <w:tc>
          <w:tcPr>
            <w:tcW w:w="987" w:type="dxa"/>
          </w:tcPr>
          <w:p>
            <w:pPr>
              <w:shd w:val="clear" w:fill="FFFFFF" w:themeFill="background1"/>
              <w:spacing w:line="360" w:lineRule="auto"/>
              <w:jc w:val="center"/>
              <w:rPr>
                <w:rFonts w:hint="eastAsia"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755" w:type="dxa"/>
          </w:tcPr>
          <w:p>
            <w:pPr>
              <w:shd w:val="clear" w:fill="FFFFFF" w:themeFill="background1"/>
              <w:spacing w:line="360" w:lineRule="auto"/>
              <w:jc w:val="center"/>
              <w:rPr>
                <w:rFonts w:hint="eastAsia" w:ascii="宋体" w:hAnsi="宋体" w:eastAsia="宋体" w:cs="宋体"/>
                <w:b/>
                <w:bCs/>
                <w:color w:val="auto"/>
                <w:highlight w:val="none"/>
              </w:rPr>
            </w:pPr>
          </w:p>
        </w:tc>
        <w:tc>
          <w:tcPr>
            <w:tcW w:w="850" w:type="dxa"/>
          </w:tcPr>
          <w:p>
            <w:pPr>
              <w:shd w:val="clear" w:fill="FFFFFF" w:themeFill="background1"/>
              <w:spacing w:line="360" w:lineRule="auto"/>
              <w:jc w:val="center"/>
              <w:rPr>
                <w:rFonts w:hint="eastAsia" w:ascii="宋体" w:hAnsi="宋体" w:eastAsia="宋体" w:cs="宋体"/>
                <w:b/>
                <w:bCs/>
                <w:color w:val="auto"/>
                <w:highlight w:val="none"/>
              </w:rPr>
            </w:pPr>
          </w:p>
        </w:tc>
        <w:tc>
          <w:tcPr>
            <w:tcW w:w="851" w:type="dxa"/>
          </w:tcPr>
          <w:p>
            <w:pPr>
              <w:shd w:val="clear" w:fill="FFFFFF" w:themeFill="background1"/>
              <w:spacing w:line="360" w:lineRule="auto"/>
              <w:jc w:val="center"/>
              <w:rPr>
                <w:rFonts w:hint="eastAsia" w:ascii="宋体" w:hAnsi="宋体" w:eastAsia="宋体" w:cs="宋体"/>
                <w:b/>
                <w:bCs/>
                <w:color w:val="auto"/>
                <w:highlight w:val="none"/>
              </w:rPr>
            </w:pPr>
          </w:p>
        </w:tc>
        <w:tc>
          <w:tcPr>
            <w:tcW w:w="850" w:type="dxa"/>
          </w:tcPr>
          <w:p>
            <w:pPr>
              <w:shd w:val="clear" w:fill="FFFFFF" w:themeFill="background1"/>
              <w:spacing w:line="360" w:lineRule="auto"/>
              <w:jc w:val="center"/>
              <w:rPr>
                <w:rFonts w:hint="eastAsia" w:ascii="宋体" w:hAnsi="宋体" w:eastAsia="宋体" w:cs="宋体"/>
                <w:b/>
                <w:bCs/>
                <w:color w:val="auto"/>
                <w:highlight w:val="none"/>
              </w:rPr>
            </w:pPr>
          </w:p>
        </w:tc>
        <w:tc>
          <w:tcPr>
            <w:tcW w:w="1276" w:type="dxa"/>
          </w:tcPr>
          <w:p>
            <w:pPr>
              <w:shd w:val="clear" w:fill="FFFFFF" w:themeFill="background1"/>
              <w:spacing w:line="360" w:lineRule="auto"/>
              <w:jc w:val="center"/>
              <w:rPr>
                <w:rFonts w:hint="eastAsia" w:ascii="宋体" w:hAnsi="宋体" w:eastAsia="宋体" w:cs="宋体"/>
                <w:b/>
                <w:bCs/>
                <w:color w:val="auto"/>
                <w:highlight w:val="none"/>
              </w:rPr>
            </w:pPr>
          </w:p>
        </w:tc>
        <w:tc>
          <w:tcPr>
            <w:tcW w:w="1134" w:type="dxa"/>
          </w:tcPr>
          <w:p>
            <w:pPr>
              <w:shd w:val="clear" w:fill="FFFFFF" w:themeFill="background1"/>
              <w:spacing w:line="360" w:lineRule="auto"/>
              <w:jc w:val="center"/>
              <w:rPr>
                <w:rFonts w:hint="eastAsia" w:ascii="宋体" w:hAnsi="宋体" w:eastAsia="宋体" w:cs="宋体"/>
                <w:b/>
                <w:bCs/>
                <w:color w:val="auto"/>
                <w:highlight w:val="none"/>
              </w:rPr>
            </w:pPr>
          </w:p>
        </w:tc>
        <w:tc>
          <w:tcPr>
            <w:tcW w:w="1068" w:type="dxa"/>
          </w:tcPr>
          <w:p>
            <w:pPr>
              <w:shd w:val="clear" w:fill="FFFFFF" w:themeFill="background1"/>
              <w:spacing w:line="360" w:lineRule="auto"/>
              <w:jc w:val="center"/>
              <w:rPr>
                <w:rFonts w:hint="eastAsia" w:ascii="宋体" w:hAnsi="宋体" w:eastAsia="宋体" w:cs="宋体"/>
                <w:b/>
                <w:bCs/>
                <w:color w:val="auto"/>
                <w:highlight w:val="none"/>
              </w:rPr>
            </w:pPr>
          </w:p>
        </w:tc>
        <w:tc>
          <w:tcPr>
            <w:tcW w:w="1164" w:type="dxa"/>
          </w:tcPr>
          <w:p>
            <w:pPr>
              <w:shd w:val="clear" w:fill="FFFFFF" w:themeFill="background1"/>
              <w:spacing w:line="360" w:lineRule="auto"/>
              <w:jc w:val="center"/>
              <w:rPr>
                <w:rFonts w:hint="eastAsia" w:ascii="宋体" w:hAnsi="宋体" w:eastAsia="宋体" w:cs="宋体"/>
                <w:b/>
                <w:bCs/>
                <w:color w:val="auto"/>
                <w:highlight w:val="none"/>
              </w:rPr>
            </w:pPr>
          </w:p>
        </w:tc>
        <w:tc>
          <w:tcPr>
            <w:tcW w:w="987" w:type="dxa"/>
          </w:tcPr>
          <w:p>
            <w:pPr>
              <w:shd w:val="clear" w:fill="FFFFFF" w:themeFill="background1"/>
              <w:spacing w:line="360" w:lineRule="auto"/>
              <w:jc w:val="center"/>
              <w:rPr>
                <w:rFonts w:hint="eastAsia"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755" w:type="dxa"/>
          </w:tcPr>
          <w:p>
            <w:pPr>
              <w:shd w:val="clear" w:fill="FFFFFF" w:themeFill="background1"/>
              <w:spacing w:line="360" w:lineRule="auto"/>
              <w:jc w:val="center"/>
              <w:rPr>
                <w:rFonts w:hint="eastAsia" w:ascii="宋体" w:hAnsi="宋体" w:eastAsia="宋体" w:cs="宋体"/>
                <w:b/>
                <w:bCs/>
                <w:color w:val="auto"/>
                <w:highlight w:val="none"/>
              </w:rPr>
            </w:pPr>
          </w:p>
        </w:tc>
        <w:tc>
          <w:tcPr>
            <w:tcW w:w="850" w:type="dxa"/>
          </w:tcPr>
          <w:p>
            <w:pPr>
              <w:shd w:val="clear" w:fill="FFFFFF" w:themeFill="background1"/>
              <w:spacing w:line="360" w:lineRule="auto"/>
              <w:jc w:val="center"/>
              <w:rPr>
                <w:rFonts w:hint="eastAsia" w:ascii="宋体" w:hAnsi="宋体" w:eastAsia="宋体" w:cs="宋体"/>
                <w:b/>
                <w:bCs/>
                <w:color w:val="auto"/>
                <w:highlight w:val="none"/>
              </w:rPr>
            </w:pPr>
          </w:p>
        </w:tc>
        <w:tc>
          <w:tcPr>
            <w:tcW w:w="851" w:type="dxa"/>
          </w:tcPr>
          <w:p>
            <w:pPr>
              <w:shd w:val="clear" w:fill="FFFFFF" w:themeFill="background1"/>
              <w:spacing w:line="360" w:lineRule="auto"/>
              <w:jc w:val="center"/>
              <w:rPr>
                <w:rFonts w:hint="eastAsia" w:ascii="宋体" w:hAnsi="宋体" w:eastAsia="宋体" w:cs="宋体"/>
                <w:b/>
                <w:bCs/>
                <w:color w:val="auto"/>
                <w:highlight w:val="none"/>
              </w:rPr>
            </w:pPr>
          </w:p>
        </w:tc>
        <w:tc>
          <w:tcPr>
            <w:tcW w:w="850" w:type="dxa"/>
          </w:tcPr>
          <w:p>
            <w:pPr>
              <w:shd w:val="clear" w:fill="FFFFFF" w:themeFill="background1"/>
              <w:spacing w:line="360" w:lineRule="auto"/>
              <w:jc w:val="center"/>
              <w:rPr>
                <w:rFonts w:hint="eastAsia" w:ascii="宋体" w:hAnsi="宋体" w:eastAsia="宋体" w:cs="宋体"/>
                <w:b/>
                <w:bCs/>
                <w:color w:val="auto"/>
                <w:highlight w:val="none"/>
              </w:rPr>
            </w:pPr>
          </w:p>
        </w:tc>
        <w:tc>
          <w:tcPr>
            <w:tcW w:w="1276" w:type="dxa"/>
          </w:tcPr>
          <w:p>
            <w:pPr>
              <w:shd w:val="clear" w:fill="FFFFFF" w:themeFill="background1"/>
              <w:spacing w:line="360" w:lineRule="auto"/>
              <w:jc w:val="center"/>
              <w:rPr>
                <w:rFonts w:hint="eastAsia" w:ascii="宋体" w:hAnsi="宋体" w:eastAsia="宋体" w:cs="宋体"/>
                <w:b/>
                <w:bCs/>
                <w:color w:val="auto"/>
                <w:highlight w:val="none"/>
              </w:rPr>
            </w:pPr>
          </w:p>
        </w:tc>
        <w:tc>
          <w:tcPr>
            <w:tcW w:w="1134" w:type="dxa"/>
          </w:tcPr>
          <w:p>
            <w:pPr>
              <w:shd w:val="clear" w:fill="FFFFFF" w:themeFill="background1"/>
              <w:spacing w:line="360" w:lineRule="auto"/>
              <w:jc w:val="center"/>
              <w:rPr>
                <w:rFonts w:hint="eastAsia" w:ascii="宋体" w:hAnsi="宋体" w:eastAsia="宋体" w:cs="宋体"/>
                <w:b/>
                <w:bCs/>
                <w:color w:val="auto"/>
                <w:highlight w:val="none"/>
              </w:rPr>
            </w:pPr>
          </w:p>
        </w:tc>
        <w:tc>
          <w:tcPr>
            <w:tcW w:w="1068" w:type="dxa"/>
          </w:tcPr>
          <w:p>
            <w:pPr>
              <w:shd w:val="clear" w:fill="FFFFFF" w:themeFill="background1"/>
              <w:spacing w:line="360" w:lineRule="auto"/>
              <w:jc w:val="center"/>
              <w:rPr>
                <w:rFonts w:hint="eastAsia" w:ascii="宋体" w:hAnsi="宋体" w:eastAsia="宋体" w:cs="宋体"/>
                <w:b/>
                <w:bCs/>
                <w:color w:val="auto"/>
                <w:highlight w:val="none"/>
              </w:rPr>
            </w:pPr>
          </w:p>
        </w:tc>
        <w:tc>
          <w:tcPr>
            <w:tcW w:w="1164" w:type="dxa"/>
          </w:tcPr>
          <w:p>
            <w:pPr>
              <w:shd w:val="clear" w:fill="FFFFFF" w:themeFill="background1"/>
              <w:spacing w:line="360" w:lineRule="auto"/>
              <w:jc w:val="center"/>
              <w:rPr>
                <w:rFonts w:hint="eastAsia" w:ascii="宋体" w:hAnsi="宋体" w:eastAsia="宋体" w:cs="宋体"/>
                <w:b/>
                <w:bCs/>
                <w:color w:val="auto"/>
                <w:highlight w:val="none"/>
              </w:rPr>
            </w:pPr>
          </w:p>
        </w:tc>
        <w:tc>
          <w:tcPr>
            <w:tcW w:w="987" w:type="dxa"/>
          </w:tcPr>
          <w:p>
            <w:pPr>
              <w:shd w:val="clear" w:fill="FFFFFF" w:themeFill="background1"/>
              <w:spacing w:line="360" w:lineRule="auto"/>
              <w:jc w:val="center"/>
              <w:rPr>
                <w:rFonts w:hint="eastAsia"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755" w:type="dxa"/>
          </w:tcPr>
          <w:p>
            <w:pPr>
              <w:shd w:val="clear" w:fill="FFFFFF" w:themeFill="background1"/>
              <w:spacing w:line="360" w:lineRule="auto"/>
              <w:jc w:val="center"/>
              <w:rPr>
                <w:rFonts w:hint="eastAsia" w:ascii="宋体" w:hAnsi="宋体" w:eastAsia="宋体" w:cs="宋体"/>
                <w:b/>
                <w:bCs/>
                <w:color w:val="auto"/>
                <w:highlight w:val="none"/>
              </w:rPr>
            </w:pPr>
          </w:p>
        </w:tc>
        <w:tc>
          <w:tcPr>
            <w:tcW w:w="850" w:type="dxa"/>
          </w:tcPr>
          <w:p>
            <w:pPr>
              <w:shd w:val="clear" w:fill="FFFFFF" w:themeFill="background1"/>
              <w:spacing w:line="360" w:lineRule="auto"/>
              <w:jc w:val="center"/>
              <w:rPr>
                <w:rFonts w:hint="eastAsia" w:ascii="宋体" w:hAnsi="宋体" w:eastAsia="宋体" w:cs="宋体"/>
                <w:b/>
                <w:bCs/>
                <w:color w:val="auto"/>
                <w:highlight w:val="none"/>
              </w:rPr>
            </w:pPr>
          </w:p>
        </w:tc>
        <w:tc>
          <w:tcPr>
            <w:tcW w:w="851" w:type="dxa"/>
          </w:tcPr>
          <w:p>
            <w:pPr>
              <w:shd w:val="clear" w:fill="FFFFFF" w:themeFill="background1"/>
              <w:spacing w:line="360" w:lineRule="auto"/>
              <w:jc w:val="center"/>
              <w:rPr>
                <w:rFonts w:hint="eastAsia" w:ascii="宋体" w:hAnsi="宋体" w:eastAsia="宋体" w:cs="宋体"/>
                <w:b/>
                <w:bCs/>
                <w:color w:val="auto"/>
                <w:highlight w:val="none"/>
              </w:rPr>
            </w:pPr>
          </w:p>
        </w:tc>
        <w:tc>
          <w:tcPr>
            <w:tcW w:w="850" w:type="dxa"/>
          </w:tcPr>
          <w:p>
            <w:pPr>
              <w:shd w:val="clear" w:fill="FFFFFF" w:themeFill="background1"/>
              <w:spacing w:line="360" w:lineRule="auto"/>
              <w:jc w:val="center"/>
              <w:rPr>
                <w:rFonts w:hint="eastAsia" w:ascii="宋体" w:hAnsi="宋体" w:eastAsia="宋体" w:cs="宋体"/>
                <w:b/>
                <w:bCs/>
                <w:color w:val="auto"/>
                <w:highlight w:val="none"/>
              </w:rPr>
            </w:pPr>
          </w:p>
        </w:tc>
        <w:tc>
          <w:tcPr>
            <w:tcW w:w="1276" w:type="dxa"/>
          </w:tcPr>
          <w:p>
            <w:pPr>
              <w:shd w:val="clear" w:fill="FFFFFF" w:themeFill="background1"/>
              <w:spacing w:line="360" w:lineRule="auto"/>
              <w:jc w:val="center"/>
              <w:rPr>
                <w:rFonts w:hint="eastAsia" w:ascii="宋体" w:hAnsi="宋体" w:eastAsia="宋体" w:cs="宋体"/>
                <w:b/>
                <w:bCs/>
                <w:color w:val="auto"/>
                <w:highlight w:val="none"/>
              </w:rPr>
            </w:pPr>
          </w:p>
        </w:tc>
        <w:tc>
          <w:tcPr>
            <w:tcW w:w="1134" w:type="dxa"/>
          </w:tcPr>
          <w:p>
            <w:pPr>
              <w:shd w:val="clear" w:fill="FFFFFF" w:themeFill="background1"/>
              <w:spacing w:line="360" w:lineRule="auto"/>
              <w:jc w:val="center"/>
              <w:rPr>
                <w:rFonts w:hint="eastAsia" w:ascii="宋体" w:hAnsi="宋体" w:eastAsia="宋体" w:cs="宋体"/>
                <w:b/>
                <w:bCs/>
                <w:color w:val="auto"/>
                <w:highlight w:val="none"/>
              </w:rPr>
            </w:pPr>
          </w:p>
        </w:tc>
        <w:tc>
          <w:tcPr>
            <w:tcW w:w="1068" w:type="dxa"/>
          </w:tcPr>
          <w:p>
            <w:pPr>
              <w:shd w:val="clear" w:fill="FFFFFF" w:themeFill="background1"/>
              <w:spacing w:line="360" w:lineRule="auto"/>
              <w:jc w:val="center"/>
              <w:rPr>
                <w:rFonts w:hint="eastAsia" w:ascii="宋体" w:hAnsi="宋体" w:eastAsia="宋体" w:cs="宋体"/>
                <w:b/>
                <w:bCs/>
                <w:color w:val="auto"/>
                <w:highlight w:val="none"/>
              </w:rPr>
            </w:pPr>
          </w:p>
        </w:tc>
        <w:tc>
          <w:tcPr>
            <w:tcW w:w="1164" w:type="dxa"/>
          </w:tcPr>
          <w:p>
            <w:pPr>
              <w:shd w:val="clear" w:fill="FFFFFF" w:themeFill="background1"/>
              <w:spacing w:line="360" w:lineRule="auto"/>
              <w:jc w:val="center"/>
              <w:rPr>
                <w:rFonts w:hint="eastAsia" w:ascii="宋体" w:hAnsi="宋体" w:eastAsia="宋体" w:cs="宋体"/>
                <w:b/>
                <w:bCs/>
                <w:color w:val="auto"/>
                <w:highlight w:val="none"/>
              </w:rPr>
            </w:pPr>
          </w:p>
        </w:tc>
        <w:tc>
          <w:tcPr>
            <w:tcW w:w="987" w:type="dxa"/>
          </w:tcPr>
          <w:p>
            <w:pPr>
              <w:shd w:val="clear" w:fill="FFFFFF" w:themeFill="background1"/>
              <w:spacing w:line="360" w:lineRule="auto"/>
              <w:jc w:val="center"/>
              <w:rPr>
                <w:rFonts w:hint="eastAsia" w:ascii="宋体" w:hAnsi="宋体" w:eastAsia="宋体" w:cs="宋体"/>
                <w:b/>
                <w:bCs/>
                <w:color w:val="auto"/>
                <w:highlight w:val="none"/>
              </w:rPr>
            </w:pPr>
          </w:p>
        </w:tc>
      </w:tr>
    </w:tbl>
    <w:p>
      <w:pPr>
        <w:pStyle w:val="7"/>
        <w:keepNext w:val="0"/>
        <w:keepLines w:val="0"/>
        <w:shd w:val="clear" w:fill="FFFFFF" w:themeFill="background1"/>
        <w:spacing w:before="0" w:after="0" w:line="440" w:lineRule="exact"/>
        <w:jc w:val="left"/>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 xml:space="preserve">    项目管理班子配备应满足安徽省住房和城乡建设厅《关于进一步明确建设工程施工现场关键岗位人员配备标准和岗位职责的通知》（建市〔2014〕186号）要求（外省投标人项目管理班子配备取样员除外）。</w:t>
      </w:r>
    </w:p>
    <w:p>
      <w:pPr>
        <w:pStyle w:val="7"/>
        <w:keepNext w:val="0"/>
        <w:keepLines w:val="0"/>
        <w:shd w:val="clear" w:fill="FFFFFF" w:themeFill="background1"/>
        <w:spacing w:before="0" w:after="0" w:line="440" w:lineRule="exact"/>
        <w:ind w:firstLine="481"/>
        <w:jc w:val="left"/>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 xml:space="preserve">表后附：拟派驻本项目技术负责人的技术职称证书、施工员 、质检员、材料员等应具有相应岗位证书、职称证书（如有）复印件加盖单位公质量员、安全员、材料员等应具有相应岗位证书、职称证书（如有）复印件加盖单位章。 </w:t>
      </w:r>
    </w:p>
    <w:p>
      <w:pPr>
        <w:shd w:val="clear" w:fill="FFFFFF" w:themeFill="background1"/>
        <w:rPr>
          <w:rFonts w:hint="eastAsia" w:ascii="宋体" w:hAnsi="宋体" w:eastAsia="宋体" w:cs="宋体"/>
          <w:color w:val="auto"/>
          <w:sz w:val="24"/>
          <w:highlight w:val="none"/>
        </w:rPr>
      </w:pPr>
    </w:p>
    <w:p>
      <w:pPr>
        <w:shd w:val="clear" w:fill="FFFFFF" w:themeFill="background1"/>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32"/>
          <w:szCs w:val="32"/>
          <w:highlight w:val="none"/>
        </w:rPr>
        <w:t>2.6.2项目经理简历表</w:t>
      </w:r>
    </w:p>
    <w:p>
      <w:pPr>
        <w:shd w:val="clear" w:fill="FFFFFF" w:themeFill="background1"/>
        <w:spacing w:line="360" w:lineRule="auto"/>
        <w:rPr>
          <w:rFonts w:hint="eastAsia" w:ascii="宋体" w:hAnsi="宋体" w:eastAsia="宋体" w:cs="宋体"/>
          <w:b/>
          <w:bCs/>
          <w:color w:val="auto"/>
          <w:sz w:val="24"/>
          <w:highlight w:val="none"/>
        </w:rPr>
      </w:pPr>
    </w:p>
    <w:tbl>
      <w:tblPr>
        <w:tblStyle w:val="31"/>
        <w:tblW w:w="951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355"/>
        <w:gridCol w:w="1623"/>
        <w:gridCol w:w="1079"/>
        <w:gridCol w:w="899"/>
        <w:gridCol w:w="539"/>
        <w:gridCol w:w="1251"/>
        <w:gridCol w:w="727"/>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614" w:type="dxa"/>
            <w:gridSpan w:val="2"/>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623" w:type="dxa"/>
            <w:vAlign w:val="center"/>
          </w:tcPr>
          <w:p>
            <w:pPr>
              <w:shd w:val="clear" w:fill="FFFFFF" w:themeFill="background1"/>
              <w:spacing w:line="360" w:lineRule="auto"/>
              <w:rPr>
                <w:rFonts w:hint="eastAsia" w:ascii="宋体" w:hAnsi="宋体" w:eastAsia="宋体" w:cs="宋体"/>
                <w:color w:val="auto"/>
                <w:highlight w:val="none"/>
              </w:rPr>
            </w:pPr>
          </w:p>
        </w:tc>
        <w:tc>
          <w:tcPr>
            <w:tcW w:w="1079"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438" w:type="dxa"/>
            <w:gridSpan w:val="2"/>
            <w:vAlign w:val="center"/>
          </w:tcPr>
          <w:p>
            <w:pPr>
              <w:shd w:val="clear" w:fill="FFFFFF" w:themeFill="background1"/>
              <w:spacing w:line="360" w:lineRule="auto"/>
              <w:rPr>
                <w:rFonts w:hint="eastAsia" w:ascii="宋体" w:hAnsi="宋体" w:eastAsia="宋体" w:cs="宋体"/>
                <w:color w:val="auto"/>
                <w:highlight w:val="none"/>
              </w:rPr>
            </w:pPr>
          </w:p>
        </w:tc>
        <w:tc>
          <w:tcPr>
            <w:tcW w:w="1978" w:type="dxa"/>
            <w:gridSpan w:val="2"/>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学          历</w:t>
            </w:r>
          </w:p>
        </w:tc>
        <w:tc>
          <w:tcPr>
            <w:tcW w:w="1787" w:type="dxa"/>
            <w:vAlign w:val="center"/>
          </w:tcPr>
          <w:p>
            <w:pPr>
              <w:shd w:val="clear" w:fill="FFFFFF" w:themeFill="background1"/>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614" w:type="dxa"/>
            <w:gridSpan w:val="2"/>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623" w:type="dxa"/>
            <w:vAlign w:val="center"/>
          </w:tcPr>
          <w:p>
            <w:pPr>
              <w:shd w:val="clear" w:fill="FFFFFF" w:themeFill="background1"/>
              <w:spacing w:line="360" w:lineRule="auto"/>
              <w:rPr>
                <w:rFonts w:hint="eastAsia" w:ascii="宋体" w:hAnsi="宋体" w:eastAsia="宋体" w:cs="宋体"/>
                <w:color w:val="auto"/>
                <w:highlight w:val="none"/>
              </w:rPr>
            </w:pPr>
          </w:p>
        </w:tc>
        <w:tc>
          <w:tcPr>
            <w:tcW w:w="1079"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1438" w:type="dxa"/>
            <w:gridSpan w:val="2"/>
            <w:vAlign w:val="center"/>
          </w:tcPr>
          <w:p>
            <w:pPr>
              <w:shd w:val="clear" w:fill="FFFFFF" w:themeFill="background1"/>
              <w:spacing w:line="360" w:lineRule="auto"/>
              <w:rPr>
                <w:rFonts w:hint="eastAsia" w:ascii="宋体" w:hAnsi="宋体" w:eastAsia="宋体" w:cs="宋体"/>
                <w:color w:val="auto"/>
                <w:highlight w:val="none"/>
              </w:rPr>
            </w:pPr>
          </w:p>
        </w:tc>
        <w:tc>
          <w:tcPr>
            <w:tcW w:w="1978" w:type="dxa"/>
            <w:gridSpan w:val="2"/>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拟在本合同任职</w:t>
            </w:r>
          </w:p>
        </w:tc>
        <w:tc>
          <w:tcPr>
            <w:tcW w:w="1787" w:type="dxa"/>
            <w:vAlign w:val="center"/>
          </w:tcPr>
          <w:p>
            <w:pPr>
              <w:shd w:val="clear" w:fill="FFFFFF" w:themeFill="background1"/>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614" w:type="dxa"/>
            <w:gridSpan w:val="2"/>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毕业学校</w:t>
            </w:r>
          </w:p>
        </w:tc>
        <w:tc>
          <w:tcPr>
            <w:tcW w:w="7905" w:type="dxa"/>
            <w:gridSpan w:val="7"/>
            <w:vAlign w:val="center"/>
          </w:tcPr>
          <w:p>
            <w:pPr>
              <w:shd w:val="clear" w:fill="FFFFFF" w:themeFill="background1"/>
              <w:spacing w:line="360" w:lineRule="auto"/>
              <w:ind w:firstLine="525" w:firstLineChars="250"/>
              <w:jc w:val="center"/>
              <w:rPr>
                <w:rFonts w:hint="eastAsia" w:ascii="宋体" w:hAnsi="宋体" w:eastAsia="宋体" w:cs="宋体"/>
                <w:color w:val="auto"/>
                <w:highlight w:val="none"/>
              </w:rPr>
            </w:pPr>
            <w:r>
              <w:rPr>
                <w:rFonts w:hint="eastAsia" w:ascii="宋体" w:hAnsi="宋体" w:eastAsia="宋体" w:cs="宋体"/>
                <w:color w:val="auto"/>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9519" w:type="dxa"/>
            <w:gridSpan w:val="9"/>
            <w:vAlign w:val="center"/>
          </w:tcPr>
          <w:p>
            <w:pPr>
              <w:shd w:val="clear" w:fill="FFFFFF" w:themeFill="background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259"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时间</w:t>
            </w:r>
          </w:p>
        </w:tc>
        <w:tc>
          <w:tcPr>
            <w:tcW w:w="3956" w:type="dxa"/>
            <w:gridSpan w:val="4"/>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参加过的类似项目</w:t>
            </w:r>
          </w:p>
        </w:tc>
        <w:tc>
          <w:tcPr>
            <w:tcW w:w="1790" w:type="dxa"/>
            <w:gridSpan w:val="2"/>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担任职务</w:t>
            </w:r>
          </w:p>
        </w:tc>
        <w:tc>
          <w:tcPr>
            <w:tcW w:w="2514" w:type="dxa"/>
            <w:gridSpan w:val="2"/>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2" w:hRule="atLeast"/>
        </w:trPr>
        <w:tc>
          <w:tcPr>
            <w:tcW w:w="1259" w:type="dxa"/>
            <w:vAlign w:val="center"/>
          </w:tcPr>
          <w:p>
            <w:pPr>
              <w:shd w:val="clear" w:fill="FFFFFF" w:themeFill="background1"/>
              <w:spacing w:line="360" w:lineRule="auto"/>
              <w:rPr>
                <w:rFonts w:hint="eastAsia" w:ascii="宋体" w:hAnsi="宋体" w:eastAsia="宋体" w:cs="宋体"/>
                <w:color w:val="auto"/>
                <w:highlight w:val="none"/>
              </w:rPr>
            </w:pPr>
          </w:p>
        </w:tc>
        <w:tc>
          <w:tcPr>
            <w:tcW w:w="3956" w:type="dxa"/>
            <w:gridSpan w:val="4"/>
            <w:vAlign w:val="center"/>
          </w:tcPr>
          <w:p>
            <w:pPr>
              <w:shd w:val="clear" w:fill="FFFFFF" w:themeFill="background1"/>
              <w:spacing w:line="360" w:lineRule="auto"/>
              <w:rPr>
                <w:rFonts w:hint="eastAsia" w:ascii="宋体" w:hAnsi="宋体" w:eastAsia="宋体" w:cs="宋体"/>
                <w:color w:val="auto"/>
                <w:highlight w:val="none"/>
              </w:rPr>
            </w:pPr>
          </w:p>
        </w:tc>
        <w:tc>
          <w:tcPr>
            <w:tcW w:w="1790" w:type="dxa"/>
            <w:gridSpan w:val="2"/>
            <w:vAlign w:val="center"/>
          </w:tcPr>
          <w:p>
            <w:pPr>
              <w:shd w:val="clear" w:fill="FFFFFF" w:themeFill="background1"/>
              <w:spacing w:line="360" w:lineRule="auto"/>
              <w:rPr>
                <w:rFonts w:hint="eastAsia" w:ascii="宋体" w:hAnsi="宋体" w:eastAsia="宋体" w:cs="宋体"/>
                <w:color w:val="auto"/>
                <w:highlight w:val="none"/>
              </w:rPr>
            </w:pPr>
          </w:p>
        </w:tc>
        <w:tc>
          <w:tcPr>
            <w:tcW w:w="2514" w:type="dxa"/>
            <w:gridSpan w:val="2"/>
            <w:vAlign w:val="center"/>
          </w:tcPr>
          <w:p>
            <w:pPr>
              <w:shd w:val="clear" w:fill="FFFFFF" w:themeFill="background1"/>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259" w:type="dxa"/>
            <w:vAlign w:val="center"/>
          </w:tcPr>
          <w:p>
            <w:pPr>
              <w:shd w:val="clear" w:fill="FFFFFF" w:themeFill="background1"/>
              <w:spacing w:line="360" w:lineRule="auto"/>
              <w:rPr>
                <w:rFonts w:hint="eastAsia" w:ascii="宋体" w:hAnsi="宋体" w:eastAsia="宋体" w:cs="宋体"/>
                <w:color w:val="auto"/>
                <w:highlight w:val="none"/>
              </w:rPr>
            </w:pPr>
          </w:p>
        </w:tc>
        <w:tc>
          <w:tcPr>
            <w:tcW w:w="3956" w:type="dxa"/>
            <w:gridSpan w:val="4"/>
            <w:vAlign w:val="center"/>
          </w:tcPr>
          <w:p>
            <w:pPr>
              <w:shd w:val="clear" w:fill="FFFFFF" w:themeFill="background1"/>
              <w:spacing w:line="360" w:lineRule="auto"/>
              <w:rPr>
                <w:rFonts w:hint="eastAsia" w:ascii="宋体" w:hAnsi="宋体" w:eastAsia="宋体" w:cs="宋体"/>
                <w:color w:val="auto"/>
                <w:highlight w:val="none"/>
              </w:rPr>
            </w:pPr>
          </w:p>
        </w:tc>
        <w:tc>
          <w:tcPr>
            <w:tcW w:w="1790" w:type="dxa"/>
            <w:gridSpan w:val="2"/>
            <w:vAlign w:val="center"/>
          </w:tcPr>
          <w:p>
            <w:pPr>
              <w:shd w:val="clear" w:fill="FFFFFF" w:themeFill="background1"/>
              <w:spacing w:line="360" w:lineRule="auto"/>
              <w:rPr>
                <w:rFonts w:hint="eastAsia" w:ascii="宋体" w:hAnsi="宋体" w:eastAsia="宋体" w:cs="宋体"/>
                <w:color w:val="auto"/>
                <w:highlight w:val="none"/>
              </w:rPr>
            </w:pPr>
          </w:p>
        </w:tc>
        <w:tc>
          <w:tcPr>
            <w:tcW w:w="2514" w:type="dxa"/>
            <w:gridSpan w:val="2"/>
            <w:vAlign w:val="center"/>
          </w:tcPr>
          <w:p>
            <w:pPr>
              <w:shd w:val="clear" w:fill="FFFFFF" w:themeFill="background1"/>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259" w:type="dxa"/>
            <w:vAlign w:val="center"/>
          </w:tcPr>
          <w:p>
            <w:pPr>
              <w:shd w:val="clear" w:fill="FFFFFF" w:themeFill="background1"/>
              <w:spacing w:line="360" w:lineRule="auto"/>
              <w:rPr>
                <w:rFonts w:hint="eastAsia" w:ascii="宋体" w:hAnsi="宋体" w:eastAsia="宋体" w:cs="宋体"/>
                <w:color w:val="auto"/>
                <w:highlight w:val="none"/>
              </w:rPr>
            </w:pPr>
          </w:p>
        </w:tc>
        <w:tc>
          <w:tcPr>
            <w:tcW w:w="3956" w:type="dxa"/>
            <w:gridSpan w:val="4"/>
            <w:vAlign w:val="center"/>
          </w:tcPr>
          <w:p>
            <w:pPr>
              <w:shd w:val="clear" w:fill="FFFFFF" w:themeFill="background1"/>
              <w:spacing w:line="360" w:lineRule="auto"/>
              <w:rPr>
                <w:rFonts w:hint="eastAsia" w:ascii="宋体" w:hAnsi="宋体" w:eastAsia="宋体" w:cs="宋体"/>
                <w:color w:val="auto"/>
                <w:highlight w:val="none"/>
              </w:rPr>
            </w:pPr>
          </w:p>
        </w:tc>
        <w:tc>
          <w:tcPr>
            <w:tcW w:w="1790" w:type="dxa"/>
            <w:gridSpan w:val="2"/>
            <w:vAlign w:val="center"/>
          </w:tcPr>
          <w:p>
            <w:pPr>
              <w:shd w:val="clear" w:fill="FFFFFF" w:themeFill="background1"/>
              <w:spacing w:line="360" w:lineRule="auto"/>
              <w:rPr>
                <w:rFonts w:hint="eastAsia" w:ascii="宋体" w:hAnsi="宋体" w:eastAsia="宋体" w:cs="宋体"/>
                <w:color w:val="auto"/>
                <w:highlight w:val="none"/>
              </w:rPr>
            </w:pPr>
          </w:p>
        </w:tc>
        <w:tc>
          <w:tcPr>
            <w:tcW w:w="2514" w:type="dxa"/>
            <w:gridSpan w:val="2"/>
            <w:vAlign w:val="center"/>
          </w:tcPr>
          <w:p>
            <w:pPr>
              <w:shd w:val="clear" w:fill="FFFFFF" w:themeFill="background1"/>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259" w:type="dxa"/>
            <w:vAlign w:val="center"/>
          </w:tcPr>
          <w:p>
            <w:pPr>
              <w:shd w:val="clear" w:fill="FFFFFF" w:themeFill="background1"/>
              <w:spacing w:line="360" w:lineRule="auto"/>
              <w:rPr>
                <w:rFonts w:hint="eastAsia" w:ascii="宋体" w:hAnsi="宋体" w:eastAsia="宋体" w:cs="宋体"/>
                <w:color w:val="auto"/>
                <w:highlight w:val="none"/>
              </w:rPr>
            </w:pPr>
          </w:p>
        </w:tc>
        <w:tc>
          <w:tcPr>
            <w:tcW w:w="3956" w:type="dxa"/>
            <w:gridSpan w:val="4"/>
            <w:vAlign w:val="center"/>
          </w:tcPr>
          <w:p>
            <w:pPr>
              <w:shd w:val="clear" w:fill="FFFFFF" w:themeFill="background1"/>
              <w:spacing w:line="360" w:lineRule="auto"/>
              <w:rPr>
                <w:rFonts w:hint="eastAsia" w:ascii="宋体" w:hAnsi="宋体" w:eastAsia="宋体" w:cs="宋体"/>
                <w:color w:val="auto"/>
                <w:highlight w:val="none"/>
              </w:rPr>
            </w:pPr>
          </w:p>
        </w:tc>
        <w:tc>
          <w:tcPr>
            <w:tcW w:w="1790" w:type="dxa"/>
            <w:gridSpan w:val="2"/>
            <w:vAlign w:val="center"/>
          </w:tcPr>
          <w:p>
            <w:pPr>
              <w:shd w:val="clear" w:fill="FFFFFF" w:themeFill="background1"/>
              <w:spacing w:line="360" w:lineRule="auto"/>
              <w:rPr>
                <w:rFonts w:hint="eastAsia" w:ascii="宋体" w:hAnsi="宋体" w:eastAsia="宋体" w:cs="宋体"/>
                <w:color w:val="auto"/>
                <w:highlight w:val="none"/>
              </w:rPr>
            </w:pPr>
          </w:p>
        </w:tc>
        <w:tc>
          <w:tcPr>
            <w:tcW w:w="2514" w:type="dxa"/>
            <w:gridSpan w:val="2"/>
            <w:vAlign w:val="center"/>
          </w:tcPr>
          <w:p>
            <w:pPr>
              <w:shd w:val="clear" w:fill="FFFFFF" w:themeFill="background1"/>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259" w:type="dxa"/>
            <w:vAlign w:val="center"/>
          </w:tcPr>
          <w:p>
            <w:pPr>
              <w:shd w:val="clear" w:fill="FFFFFF" w:themeFill="background1"/>
              <w:spacing w:line="360" w:lineRule="auto"/>
              <w:rPr>
                <w:rFonts w:hint="eastAsia" w:ascii="宋体" w:hAnsi="宋体" w:eastAsia="宋体" w:cs="宋体"/>
                <w:color w:val="auto"/>
                <w:highlight w:val="none"/>
              </w:rPr>
            </w:pPr>
          </w:p>
        </w:tc>
        <w:tc>
          <w:tcPr>
            <w:tcW w:w="3956" w:type="dxa"/>
            <w:gridSpan w:val="4"/>
            <w:vAlign w:val="center"/>
          </w:tcPr>
          <w:p>
            <w:pPr>
              <w:shd w:val="clear" w:fill="FFFFFF" w:themeFill="background1"/>
              <w:spacing w:line="360" w:lineRule="auto"/>
              <w:rPr>
                <w:rFonts w:hint="eastAsia" w:ascii="宋体" w:hAnsi="宋体" w:eastAsia="宋体" w:cs="宋体"/>
                <w:color w:val="auto"/>
                <w:highlight w:val="none"/>
              </w:rPr>
            </w:pPr>
          </w:p>
        </w:tc>
        <w:tc>
          <w:tcPr>
            <w:tcW w:w="1790" w:type="dxa"/>
            <w:gridSpan w:val="2"/>
            <w:vAlign w:val="center"/>
          </w:tcPr>
          <w:p>
            <w:pPr>
              <w:shd w:val="clear" w:fill="FFFFFF" w:themeFill="background1"/>
              <w:spacing w:line="360" w:lineRule="auto"/>
              <w:rPr>
                <w:rFonts w:hint="eastAsia" w:ascii="宋体" w:hAnsi="宋体" w:eastAsia="宋体" w:cs="宋体"/>
                <w:color w:val="auto"/>
                <w:highlight w:val="none"/>
              </w:rPr>
            </w:pPr>
          </w:p>
        </w:tc>
        <w:tc>
          <w:tcPr>
            <w:tcW w:w="2514" w:type="dxa"/>
            <w:gridSpan w:val="2"/>
            <w:vAlign w:val="center"/>
          </w:tcPr>
          <w:p>
            <w:pPr>
              <w:shd w:val="clear" w:fill="FFFFFF" w:themeFill="background1"/>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259" w:type="dxa"/>
            <w:vAlign w:val="center"/>
          </w:tcPr>
          <w:p>
            <w:pPr>
              <w:shd w:val="clear" w:fill="FFFFFF" w:themeFill="background1"/>
              <w:spacing w:line="360" w:lineRule="auto"/>
              <w:rPr>
                <w:rFonts w:hint="eastAsia" w:ascii="宋体" w:hAnsi="宋体" w:eastAsia="宋体" w:cs="宋体"/>
                <w:color w:val="auto"/>
                <w:highlight w:val="none"/>
              </w:rPr>
            </w:pPr>
          </w:p>
        </w:tc>
        <w:tc>
          <w:tcPr>
            <w:tcW w:w="3956" w:type="dxa"/>
            <w:gridSpan w:val="4"/>
            <w:vAlign w:val="center"/>
          </w:tcPr>
          <w:p>
            <w:pPr>
              <w:shd w:val="clear" w:fill="FFFFFF" w:themeFill="background1"/>
              <w:spacing w:line="360" w:lineRule="auto"/>
              <w:rPr>
                <w:rFonts w:hint="eastAsia" w:ascii="宋体" w:hAnsi="宋体" w:eastAsia="宋体" w:cs="宋体"/>
                <w:color w:val="auto"/>
                <w:highlight w:val="none"/>
              </w:rPr>
            </w:pPr>
          </w:p>
        </w:tc>
        <w:tc>
          <w:tcPr>
            <w:tcW w:w="1790" w:type="dxa"/>
            <w:gridSpan w:val="2"/>
            <w:vAlign w:val="center"/>
          </w:tcPr>
          <w:p>
            <w:pPr>
              <w:shd w:val="clear" w:fill="FFFFFF" w:themeFill="background1"/>
              <w:spacing w:line="360" w:lineRule="auto"/>
              <w:rPr>
                <w:rFonts w:hint="eastAsia" w:ascii="宋体" w:hAnsi="宋体" w:eastAsia="宋体" w:cs="宋体"/>
                <w:color w:val="auto"/>
                <w:highlight w:val="none"/>
              </w:rPr>
            </w:pPr>
          </w:p>
        </w:tc>
        <w:tc>
          <w:tcPr>
            <w:tcW w:w="2514" w:type="dxa"/>
            <w:gridSpan w:val="2"/>
            <w:vAlign w:val="center"/>
          </w:tcPr>
          <w:p>
            <w:pPr>
              <w:shd w:val="clear" w:fill="FFFFFF" w:themeFill="background1"/>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2" w:hRule="atLeast"/>
        </w:trPr>
        <w:tc>
          <w:tcPr>
            <w:tcW w:w="1259" w:type="dxa"/>
            <w:vAlign w:val="center"/>
          </w:tcPr>
          <w:p>
            <w:pPr>
              <w:shd w:val="clear" w:fill="FFFFFF" w:themeFill="background1"/>
              <w:spacing w:line="360" w:lineRule="auto"/>
              <w:rPr>
                <w:rFonts w:hint="eastAsia" w:ascii="宋体" w:hAnsi="宋体" w:eastAsia="宋体" w:cs="宋体"/>
                <w:color w:val="auto"/>
                <w:highlight w:val="none"/>
              </w:rPr>
            </w:pPr>
          </w:p>
        </w:tc>
        <w:tc>
          <w:tcPr>
            <w:tcW w:w="3956" w:type="dxa"/>
            <w:gridSpan w:val="4"/>
            <w:vAlign w:val="center"/>
          </w:tcPr>
          <w:p>
            <w:pPr>
              <w:shd w:val="clear" w:fill="FFFFFF" w:themeFill="background1"/>
              <w:spacing w:line="360" w:lineRule="auto"/>
              <w:rPr>
                <w:rFonts w:hint="eastAsia" w:ascii="宋体" w:hAnsi="宋体" w:eastAsia="宋体" w:cs="宋体"/>
                <w:color w:val="auto"/>
                <w:highlight w:val="none"/>
              </w:rPr>
            </w:pPr>
          </w:p>
        </w:tc>
        <w:tc>
          <w:tcPr>
            <w:tcW w:w="1790" w:type="dxa"/>
            <w:gridSpan w:val="2"/>
            <w:vAlign w:val="center"/>
          </w:tcPr>
          <w:p>
            <w:pPr>
              <w:shd w:val="clear" w:fill="FFFFFF" w:themeFill="background1"/>
              <w:spacing w:line="360" w:lineRule="auto"/>
              <w:rPr>
                <w:rFonts w:hint="eastAsia" w:ascii="宋体" w:hAnsi="宋体" w:eastAsia="宋体" w:cs="宋体"/>
                <w:color w:val="auto"/>
                <w:highlight w:val="none"/>
              </w:rPr>
            </w:pPr>
          </w:p>
        </w:tc>
        <w:tc>
          <w:tcPr>
            <w:tcW w:w="2514" w:type="dxa"/>
            <w:gridSpan w:val="2"/>
            <w:vAlign w:val="center"/>
          </w:tcPr>
          <w:p>
            <w:pPr>
              <w:shd w:val="clear" w:fill="FFFFFF" w:themeFill="background1"/>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259" w:type="dxa"/>
            <w:vAlign w:val="center"/>
          </w:tcPr>
          <w:p>
            <w:pPr>
              <w:shd w:val="clear" w:fill="FFFFFF" w:themeFill="background1"/>
              <w:spacing w:line="360" w:lineRule="auto"/>
              <w:rPr>
                <w:rFonts w:hint="eastAsia" w:ascii="宋体" w:hAnsi="宋体" w:eastAsia="宋体" w:cs="宋体"/>
                <w:color w:val="auto"/>
                <w:highlight w:val="none"/>
              </w:rPr>
            </w:pPr>
          </w:p>
        </w:tc>
        <w:tc>
          <w:tcPr>
            <w:tcW w:w="3956" w:type="dxa"/>
            <w:gridSpan w:val="4"/>
            <w:vAlign w:val="center"/>
          </w:tcPr>
          <w:p>
            <w:pPr>
              <w:shd w:val="clear" w:fill="FFFFFF" w:themeFill="background1"/>
              <w:spacing w:line="360" w:lineRule="auto"/>
              <w:rPr>
                <w:rFonts w:hint="eastAsia" w:ascii="宋体" w:hAnsi="宋体" w:eastAsia="宋体" w:cs="宋体"/>
                <w:color w:val="auto"/>
                <w:highlight w:val="none"/>
              </w:rPr>
            </w:pPr>
          </w:p>
        </w:tc>
        <w:tc>
          <w:tcPr>
            <w:tcW w:w="1790" w:type="dxa"/>
            <w:gridSpan w:val="2"/>
            <w:vAlign w:val="center"/>
          </w:tcPr>
          <w:p>
            <w:pPr>
              <w:shd w:val="clear" w:fill="FFFFFF" w:themeFill="background1"/>
              <w:spacing w:line="360" w:lineRule="auto"/>
              <w:rPr>
                <w:rFonts w:hint="eastAsia" w:ascii="宋体" w:hAnsi="宋体" w:eastAsia="宋体" w:cs="宋体"/>
                <w:color w:val="auto"/>
                <w:highlight w:val="none"/>
              </w:rPr>
            </w:pPr>
          </w:p>
        </w:tc>
        <w:tc>
          <w:tcPr>
            <w:tcW w:w="2514" w:type="dxa"/>
            <w:gridSpan w:val="2"/>
            <w:vAlign w:val="center"/>
          </w:tcPr>
          <w:p>
            <w:pPr>
              <w:shd w:val="clear" w:fill="FFFFFF" w:themeFill="background1"/>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259" w:type="dxa"/>
            <w:vAlign w:val="center"/>
          </w:tcPr>
          <w:p>
            <w:pPr>
              <w:shd w:val="clear" w:fill="FFFFFF" w:themeFill="background1"/>
              <w:spacing w:line="360" w:lineRule="auto"/>
              <w:rPr>
                <w:rFonts w:hint="eastAsia" w:ascii="宋体" w:hAnsi="宋体" w:eastAsia="宋体" w:cs="宋体"/>
                <w:color w:val="auto"/>
                <w:highlight w:val="none"/>
              </w:rPr>
            </w:pPr>
          </w:p>
        </w:tc>
        <w:tc>
          <w:tcPr>
            <w:tcW w:w="3956" w:type="dxa"/>
            <w:gridSpan w:val="4"/>
            <w:vAlign w:val="center"/>
          </w:tcPr>
          <w:p>
            <w:pPr>
              <w:shd w:val="clear" w:fill="FFFFFF" w:themeFill="background1"/>
              <w:spacing w:line="360" w:lineRule="auto"/>
              <w:rPr>
                <w:rFonts w:hint="eastAsia" w:ascii="宋体" w:hAnsi="宋体" w:eastAsia="宋体" w:cs="宋体"/>
                <w:color w:val="auto"/>
                <w:highlight w:val="none"/>
              </w:rPr>
            </w:pPr>
          </w:p>
        </w:tc>
        <w:tc>
          <w:tcPr>
            <w:tcW w:w="1790" w:type="dxa"/>
            <w:gridSpan w:val="2"/>
            <w:vAlign w:val="center"/>
          </w:tcPr>
          <w:p>
            <w:pPr>
              <w:shd w:val="clear" w:fill="FFFFFF" w:themeFill="background1"/>
              <w:spacing w:line="360" w:lineRule="auto"/>
              <w:rPr>
                <w:rFonts w:hint="eastAsia" w:ascii="宋体" w:hAnsi="宋体" w:eastAsia="宋体" w:cs="宋体"/>
                <w:color w:val="auto"/>
                <w:highlight w:val="none"/>
              </w:rPr>
            </w:pPr>
          </w:p>
        </w:tc>
        <w:tc>
          <w:tcPr>
            <w:tcW w:w="2514" w:type="dxa"/>
            <w:gridSpan w:val="2"/>
            <w:vAlign w:val="center"/>
          </w:tcPr>
          <w:p>
            <w:pPr>
              <w:shd w:val="clear" w:fill="FFFFFF" w:themeFill="background1"/>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259" w:type="dxa"/>
            <w:vAlign w:val="center"/>
          </w:tcPr>
          <w:p>
            <w:pPr>
              <w:shd w:val="clear" w:fill="FFFFFF" w:themeFill="background1"/>
              <w:spacing w:line="360" w:lineRule="auto"/>
              <w:rPr>
                <w:rFonts w:hint="eastAsia" w:ascii="宋体" w:hAnsi="宋体" w:eastAsia="宋体" w:cs="宋体"/>
                <w:color w:val="auto"/>
                <w:highlight w:val="none"/>
              </w:rPr>
            </w:pPr>
          </w:p>
        </w:tc>
        <w:tc>
          <w:tcPr>
            <w:tcW w:w="3956" w:type="dxa"/>
            <w:gridSpan w:val="4"/>
            <w:vAlign w:val="center"/>
          </w:tcPr>
          <w:p>
            <w:pPr>
              <w:shd w:val="clear" w:fill="FFFFFF" w:themeFill="background1"/>
              <w:spacing w:line="360" w:lineRule="auto"/>
              <w:rPr>
                <w:rFonts w:hint="eastAsia" w:ascii="宋体" w:hAnsi="宋体" w:eastAsia="宋体" w:cs="宋体"/>
                <w:color w:val="auto"/>
                <w:highlight w:val="none"/>
              </w:rPr>
            </w:pPr>
          </w:p>
        </w:tc>
        <w:tc>
          <w:tcPr>
            <w:tcW w:w="1790" w:type="dxa"/>
            <w:gridSpan w:val="2"/>
            <w:vAlign w:val="center"/>
          </w:tcPr>
          <w:p>
            <w:pPr>
              <w:shd w:val="clear" w:fill="FFFFFF" w:themeFill="background1"/>
              <w:spacing w:line="360" w:lineRule="auto"/>
              <w:rPr>
                <w:rFonts w:hint="eastAsia" w:ascii="宋体" w:hAnsi="宋体" w:eastAsia="宋体" w:cs="宋体"/>
                <w:color w:val="auto"/>
                <w:highlight w:val="none"/>
              </w:rPr>
            </w:pPr>
          </w:p>
        </w:tc>
        <w:tc>
          <w:tcPr>
            <w:tcW w:w="2514" w:type="dxa"/>
            <w:gridSpan w:val="2"/>
            <w:vAlign w:val="center"/>
          </w:tcPr>
          <w:p>
            <w:pPr>
              <w:shd w:val="clear" w:fill="FFFFFF" w:themeFill="background1"/>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259" w:type="dxa"/>
            <w:vAlign w:val="center"/>
          </w:tcPr>
          <w:p>
            <w:pPr>
              <w:shd w:val="clear" w:fill="FFFFFF" w:themeFill="background1"/>
              <w:spacing w:line="360" w:lineRule="auto"/>
              <w:rPr>
                <w:rFonts w:hint="eastAsia" w:ascii="宋体" w:hAnsi="宋体" w:eastAsia="宋体" w:cs="宋体"/>
                <w:color w:val="auto"/>
                <w:highlight w:val="none"/>
              </w:rPr>
            </w:pPr>
          </w:p>
        </w:tc>
        <w:tc>
          <w:tcPr>
            <w:tcW w:w="3956" w:type="dxa"/>
            <w:gridSpan w:val="4"/>
            <w:vAlign w:val="center"/>
          </w:tcPr>
          <w:p>
            <w:pPr>
              <w:shd w:val="clear" w:fill="FFFFFF" w:themeFill="background1"/>
              <w:spacing w:line="360" w:lineRule="auto"/>
              <w:rPr>
                <w:rFonts w:hint="eastAsia" w:ascii="宋体" w:hAnsi="宋体" w:eastAsia="宋体" w:cs="宋体"/>
                <w:color w:val="auto"/>
                <w:highlight w:val="none"/>
              </w:rPr>
            </w:pPr>
          </w:p>
        </w:tc>
        <w:tc>
          <w:tcPr>
            <w:tcW w:w="1790" w:type="dxa"/>
            <w:gridSpan w:val="2"/>
            <w:vAlign w:val="center"/>
          </w:tcPr>
          <w:p>
            <w:pPr>
              <w:shd w:val="clear" w:fill="FFFFFF" w:themeFill="background1"/>
              <w:spacing w:line="360" w:lineRule="auto"/>
              <w:rPr>
                <w:rFonts w:hint="eastAsia" w:ascii="宋体" w:hAnsi="宋体" w:eastAsia="宋体" w:cs="宋体"/>
                <w:color w:val="auto"/>
                <w:highlight w:val="none"/>
              </w:rPr>
            </w:pPr>
          </w:p>
        </w:tc>
        <w:tc>
          <w:tcPr>
            <w:tcW w:w="2514" w:type="dxa"/>
            <w:gridSpan w:val="2"/>
            <w:vAlign w:val="center"/>
          </w:tcPr>
          <w:p>
            <w:pPr>
              <w:shd w:val="clear" w:fill="FFFFFF" w:themeFill="background1"/>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259" w:type="dxa"/>
            <w:vAlign w:val="center"/>
          </w:tcPr>
          <w:p>
            <w:pPr>
              <w:shd w:val="clear" w:fill="FFFFFF" w:themeFill="background1"/>
              <w:spacing w:line="360" w:lineRule="auto"/>
              <w:rPr>
                <w:rFonts w:hint="eastAsia" w:ascii="宋体" w:hAnsi="宋体" w:eastAsia="宋体" w:cs="宋体"/>
                <w:color w:val="auto"/>
                <w:highlight w:val="none"/>
              </w:rPr>
            </w:pPr>
          </w:p>
        </w:tc>
        <w:tc>
          <w:tcPr>
            <w:tcW w:w="3956" w:type="dxa"/>
            <w:gridSpan w:val="4"/>
            <w:vAlign w:val="center"/>
          </w:tcPr>
          <w:p>
            <w:pPr>
              <w:shd w:val="clear" w:fill="FFFFFF" w:themeFill="background1"/>
              <w:spacing w:line="360" w:lineRule="auto"/>
              <w:rPr>
                <w:rFonts w:hint="eastAsia" w:ascii="宋体" w:hAnsi="宋体" w:eastAsia="宋体" w:cs="宋体"/>
                <w:color w:val="auto"/>
                <w:highlight w:val="none"/>
              </w:rPr>
            </w:pPr>
          </w:p>
        </w:tc>
        <w:tc>
          <w:tcPr>
            <w:tcW w:w="1790" w:type="dxa"/>
            <w:gridSpan w:val="2"/>
            <w:vAlign w:val="center"/>
          </w:tcPr>
          <w:p>
            <w:pPr>
              <w:shd w:val="clear" w:fill="FFFFFF" w:themeFill="background1"/>
              <w:spacing w:line="360" w:lineRule="auto"/>
              <w:rPr>
                <w:rFonts w:hint="eastAsia" w:ascii="宋体" w:hAnsi="宋体" w:eastAsia="宋体" w:cs="宋体"/>
                <w:color w:val="auto"/>
                <w:highlight w:val="none"/>
              </w:rPr>
            </w:pPr>
          </w:p>
        </w:tc>
        <w:tc>
          <w:tcPr>
            <w:tcW w:w="2514" w:type="dxa"/>
            <w:gridSpan w:val="2"/>
            <w:vAlign w:val="center"/>
          </w:tcPr>
          <w:p>
            <w:pPr>
              <w:shd w:val="clear" w:fill="FFFFFF" w:themeFill="background1"/>
              <w:spacing w:line="360" w:lineRule="auto"/>
              <w:rPr>
                <w:rFonts w:hint="eastAsia" w:ascii="宋体" w:hAnsi="宋体" w:eastAsia="宋体" w:cs="宋体"/>
                <w:color w:val="auto"/>
                <w:highlight w:val="none"/>
              </w:rPr>
            </w:pPr>
          </w:p>
        </w:tc>
      </w:tr>
    </w:tbl>
    <w:p>
      <w:pPr>
        <w:pStyle w:val="7"/>
        <w:keepNext w:val="0"/>
        <w:keepLines w:val="0"/>
        <w:shd w:val="clear" w:fill="FFFFFF" w:themeFill="background1"/>
        <w:spacing w:before="0" w:after="0" w:line="440" w:lineRule="exact"/>
        <w:jc w:val="left"/>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 xml:space="preserve"> 表后附建造师注册证书、安全生产考核合格证、业绩证明材料复印件加盖单位公章。</w:t>
      </w:r>
    </w:p>
    <w:p>
      <w:pPr>
        <w:shd w:val="clear" w:fill="FFFFFF" w:themeFill="background1"/>
        <w:spacing w:line="360" w:lineRule="auto"/>
        <w:ind w:firstLine="482" w:firstLineChars="200"/>
        <w:rPr>
          <w:rFonts w:hint="eastAsia" w:ascii="宋体" w:hAnsi="宋体" w:eastAsia="宋体" w:cs="宋体"/>
          <w:b/>
          <w:bCs/>
          <w:color w:val="auto"/>
          <w:sz w:val="24"/>
          <w:highlight w:val="none"/>
        </w:rPr>
      </w:pPr>
    </w:p>
    <w:p>
      <w:pPr>
        <w:shd w:val="clear" w:fill="FFFFFF" w:themeFill="background1"/>
        <w:spacing w:line="360" w:lineRule="auto"/>
        <w:ind w:firstLine="482" w:firstLineChars="200"/>
        <w:rPr>
          <w:rFonts w:hint="eastAsia" w:ascii="宋体" w:hAnsi="宋体" w:eastAsia="宋体" w:cs="宋体"/>
          <w:b/>
          <w:bCs/>
          <w:color w:val="auto"/>
          <w:sz w:val="24"/>
          <w:highlight w:val="none"/>
        </w:rPr>
      </w:pP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br w:type="page"/>
      </w:r>
    </w:p>
    <w:p>
      <w:pPr>
        <w:shd w:val="clear" w:fill="FFFFFF" w:themeFill="background1"/>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2.6.3拟派项目经理（二级建造师）无在建证明或承诺</w:t>
      </w:r>
    </w:p>
    <w:p>
      <w:pPr>
        <w:pStyle w:val="2"/>
        <w:shd w:val="clear" w:fill="FFFFFF" w:themeFill="background1"/>
        <w:jc w:val="center"/>
        <w:rPr>
          <w:rFonts w:hint="eastAsia" w:ascii="宋体" w:hAnsi="宋体" w:eastAsia="宋体" w:cs="宋体"/>
          <w:color w:val="auto"/>
          <w:highlight w:val="none"/>
        </w:rPr>
      </w:pPr>
      <w:r>
        <w:rPr>
          <w:rFonts w:hint="eastAsia" w:ascii="宋体" w:hAnsi="宋体" w:eastAsia="宋体" w:cs="宋体"/>
          <w:b/>
          <w:color w:val="auto"/>
          <w:sz w:val="32"/>
          <w:szCs w:val="32"/>
          <w:highlight w:val="none"/>
        </w:rPr>
        <w:t>（格式自拟）</w:t>
      </w:r>
    </w:p>
    <w:p>
      <w:pPr>
        <w:shd w:val="clear" w:fill="FFFFFF" w:themeFill="background1"/>
        <w:rPr>
          <w:rFonts w:hint="eastAsia" w:ascii="宋体" w:hAnsi="宋体" w:eastAsia="宋体" w:cs="宋体"/>
          <w:b/>
          <w:bCs/>
          <w:color w:val="auto"/>
          <w:sz w:val="28"/>
          <w:szCs w:val="28"/>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rPr>
        <w:t>2.7.拟分包项目情况表（如允许分包）</w:t>
      </w:r>
    </w:p>
    <w:p>
      <w:pPr>
        <w:shd w:val="clear" w:fill="FFFFFF" w:themeFill="background1"/>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拟分包项目情况表</w:t>
      </w:r>
    </w:p>
    <w:p>
      <w:pPr>
        <w:shd w:val="clear" w:fill="FFFFFF" w:themeFill="background1"/>
        <w:spacing w:line="360" w:lineRule="auto"/>
        <w:rPr>
          <w:rFonts w:hint="eastAsia" w:ascii="宋体" w:hAnsi="宋体" w:eastAsia="宋体" w:cs="宋体"/>
          <w:b/>
          <w:bCs/>
          <w:color w:val="auto"/>
          <w:sz w:val="24"/>
          <w:highlight w:val="none"/>
        </w:rPr>
      </w:pPr>
    </w:p>
    <w:tbl>
      <w:tblPr>
        <w:tblStyle w:val="31"/>
        <w:tblW w:w="944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2113"/>
        <w:gridCol w:w="2656"/>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206"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分包人名称</w:t>
            </w:r>
          </w:p>
        </w:tc>
        <w:tc>
          <w:tcPr>
            <w:tcW w:w="2113" w:type="dxa"/>
            <w:vAlign w:val="center"/>
          </w:tcPr>
          <w:p>
            <w:pPr>
              <w:shd w:val="clear" w:fill="FFFFFF" w:themeFill="background1"/>
              <w:spacing w:line="360" w:lineRule="auto"/>
              <w:jc w:val="center"/>
              <w:rPr>
                <w:rFonts w:hint="eastAsia" w:ascii="宋体" w:hAnsi="宋体" w:eastAsia="宋体" w:cs="宋体"/>
                <w:color w:val="auto"/>
                <w:highlight w:val="none"/>
              </w:rPr>
            </w:pPr>
          </w:p>
        </w:tc>
        <w:tc>
          <w:tcPr>
            <w:tcW w:w="2656"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地址</w:t>
            </w:r>
          </w:p>
        </w:tc>
        <w:tc>
          <w:tcPr>
            <w:tcW w:w="2468" w:type="dxa"/>
            <w:vAlign w:val="center"/>
          </w:tcPr>
          <w:p>
            <w:pPr>
              <w:shd w:val="clear" w:fill="FFFFFF" w:themeFill="background1"/>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206"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2113" w:type="dxa"/>
            <w:vAlign w:val="center"/>
          </w:tcPr>
          <w:p>
            <w:pPr>
              <w:shd w:val="clear" w:fill="FFFFFF" w:themeFill="background1"/>
              <w:spacing w:line="360" w:lineRule="auto"/>
              <w:jc w:val="center"/>
              <w:rPr>
                <w:rFonts w:hint="eastAsia" w:ascii="宋体" w:hAnsi="宋体" w:eastAsia="宋体" w:cs="宋体"/>
                <w:color w:val="auto"/>
                <w:highlight w:val="none"/>
              </w:rPr>
            </w:pPr>
          </w:p>
        </w:tc>
        <w:tc>
          <w:tcPr>
            <w:tcW w:w="2656"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2468" w:type="dxa"/>
            <w:vAlign w:val="center"/>
          </w:tcPr>
          <w:p>
            <w:pPr>
              <w:shd w:val="clear" w:fill="FFFFFF" w:themeFill="background1"/>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206"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营业执照号</w:t>
            </w:r>
          </w:p>
        </w:tc>
        <w:tc>
          <w:tcPr>
            <w:tcW w:w="2113" w:type="dxa"/>
            <w:vAlign w:val="center"/>
          </w:tcPr>
          <w:p>
            <w:pPr>
              <w:shd w:val="clear" w:fill="FFFFFF" w:themeFill="background1"/>
              <w:spacing w:line="360" w:lineRule="auto"/>
              <w:jc w:val="center"/>
              <w:rPr>
                <w:rFonts w:hint="eastAsia" w:ascii="宋体" w:hAnsi="宋体" w:eastAsia="宋体" w:cs="宋体"/>
                <w:color w:val="auto"/>
                <w:highlight w:val="none"/>
              </w:rPr>
            </w:pPr>
          </w:p>
        </w:tc>
        <w:tc>
          <w:tcPr>
            <w:tcW w:w="2656"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资质等级</w:t>
            </w:r>
          </w:p>
        </w:tc>
        <w:tc>
          <w:tcPr>
            <w:tcW w:w="2468" w:type="dxa"/>
            <w:vAlign w:val="center"/>
          </w:tcPr>
          <w:p>
            <w:pPr>
              <w:shd w:val="clear" w:fill="FFFFFF" w:themeFill="background1"/>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206"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拟分包的工程项目</w:t>
            </w:r>
          </w:p>
        </w:tc>
        <w:tc>
          <w:tcPr>
            <w:tcW w:w="2113"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主要内容</w:t>
            </w:r>
          </w:p>
        </w:tc>
        <w:tc>
          <w:tcPr>
            <w:tcW w:w="2656"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预计造价（万元）</w:t>
            </w:r>
          </w:p>
        </w:tc>
        <w:tc>
          <w:tcPr>
            <w:tcW w:w="2468"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已做过的类似工程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2206" w:type="dxa"/>
          </w:tcPr>
          <w:p>
            <w:pPr>
              <w:shd w:val="clear" w:fill="FFFFFF" w:themeFill="background1"/>
              <w:spacing w:line="360" w:lineRule="auto"/>
              <w:rPr>
                <w:rFonts w:hint="eastAsia" w:ascii="宋体" w:hAnsi="宋体" w:eastAsia="宋体" w:cs="宋体"/>
                <w:color w:val="auto"/>
                <w:highlight w:val="none"/>
              </w:rPr>
            </w:pPr>
          </w:p>
        </w:tc>
        <w:tc>
          <w:tcPr>
            <w:tcW w:w="2113" w:type="dxa"/>
          </w:tcPr>
          <w:p>
            <w:pPr>
              <w:shd w:val="clear" w:fill="FFFFFF" w:themeFill="background1"/>
              <w:spacing w:line="360" w:lineRule="auto"/>
              <w:rPr>
                <w:rFonts w:hint="eastAsia" w:ascii="宋体" w:hAnsi="宋体" w:eastAsia="宋体" w:cs="宋体"/>
                <w:color w:val="auto"/>
                <w:highlight w:val="none"/>
              </w:rPr>
            </w:pPr>
          </w:p>
        </w:tc>
        <w:tc>
          <w:tcPr>
            <w:tcW w:w="2656" w:type="dxa"/>
          </w:tcPr>
          <w:p>
            <w:pPr>
              <w:shd w:val="clear" w:fill="FFFFFF" w:themeFill="background1"/>
              <w:spacing w:line="360" w:lineRule="auto"/>
              <w:rPr>
                <w:rFonts w:hint="eastAsia" w:ascii="宋体" w:hAnsi="宋体" w:eastAsia="宋体" w:cs="宋体"/>
                <w:color w:val="auto"/>
                <w:highlight w:val="none"/>
              </w:rPr>
            </w:pPr>
          </w:p>
        </w:tc>
        <w:tc>
          <w:tcPr>
            <w:tcW w:w="2468" w:type="dxa"/>
            <w:vMerge w:val="restart"/>
          </w:tcPr>
          <w:p>
            <w:pPr>
              <w:shd w:val="clear" w:fill="FFFFFF" w:themeFill="background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76" w:hRule="atLeast"/>
        </w:trPr>
        <w:tc>
          <w:tcPr>
            <w:tcW w:w="2206" w:type="dxa"/>
          </w:tcPr>
          <w:p>
            <w:pPr>
              <w:shd w:val="clear" w:fill="FFFFFF" w:themeFill="background1"/>
              <w:spacing w:line="360" w:lineRule="auto"/>
              <w:rPr>
                <w:rFonts w:hint="eastAsia" w:ascii="宋体" w:hAnsi="宋体" w:eastAsia="宋体" w:cs="宋体"/>
                <w:color w:val="auto"/>
                <w:highlight w:val="none"/>
              </w:rPr>
            </w:pPr>
          </w:p>
        </w:tc>
        <w:tc>
          <w:tcPr>
            <w:tcW w:w="2113" w:type="dxa"/>
          </w:tcPr>
          <w:p>
            <w:pPr>
              <w:shd w:val="clear" w:fill="FFFFFF" w:themeFill="background1"/>
              <w:spacing w:line="360" w:lineRule="auto"/>
              <w:rPr>
                <w:rFonts w:hint="eastAsia" w:ascii="宋体" w:hAnsi="宋体" w:eastAsia="宋体" w:cs="宋体"/>
                <w:color w:val="auto"/>
                <w:highlight w:val="none"/>
              </w:rPr>
            </w:pPr>
          </w:p>
        </w:tc>
        <w:tc>
          <w:tcPr>
            <w:tcW w:w="2656" w:type="dxa"/>
          </w:tcPr>
          <w:p>
            <w:pPr>
              <w:shd w:val="clear" w:fill="FFFFFF" w:themeFill="background1"/>
              <w:spacing w:line="360" w:lineRule="auto"/>
              <w:rPr>
                <w:rFonts w:hint="eastAsia" w:ascii="宋体" w:hAnsi="宋体" w:eastAsia="宋体" w:cs="宋体"/>
                <w:color w:val="auto"/>
                <w:highlight w:val="none"/>
              </w:rPr>
            </w:pPr>
          </w:p>
        </w:tc>
        <w:tc>
          <w:tcPr>
            <w:tcW w:w="2468" w:type="dxa"/>
            <w:vMerge w:val="continue"/>
            <w:vAlign w:val="center"/>
          </w:tcPr>
          <w:p>
            <w:pPr>
              <w:shd w:val="clear" w:fill="FFFFFF" w:themeFill="background1"/>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2206" w:type="dxa"/>
          </w:tcPr>
          <w:p>
            <w:pPr>
              <w:shd w:val="clear" w:fill="FFFFFF" w:themeFill="background1"/>
              <w:spacing w:line="360" w:lineRule="auto"/>
              <w:rPr>
                <w:rFonts w:hint="eastAsia" w:ascii="宋体" w:hAnsi="宋体" w:eastAsia="宋体" w:cs="宋体"/>
                <w:color w:val="auto"/>
                <w:highlight w:val="none"/>
              </w:rPr>
            </w:pPr>
          </w:p>
        </w:tc>
        <w:tc>
          <w:tcPr>
            <w:tcW w:w="2113" w:type="dxa"/>
          </w:tcPr>
          <w:p>
            <w:pPr>
              <w:shd w:val="clear" w:fill="FFFFFF" w:themeFill="background1"/>
              <w:spacing w:line="360" w:lineRule="auto"/>
              <w:rPr>
                <w:rFonts w:hint="eastAsia" w:ascii="宋体" w:hAnsi="宋体" w:eastAsia="宋体" w:cs="宋体"/>
                <w:color w:val="auto"/>
                <w:highlight w:val="none"/>
              </w:rPr>
            </w:pPr>
          </w:p>
        </w:tc>
        <w:tc>
          <w:tcPr>
            <w:tcW w:w="2656" w:type="dxa"/>
          </w:tcPr>
          <w:p>
            <w:pPr>
              <w:shd w:val="clear" w:fill="FFFFFF" w:themeFill="background1"/>
              <w:spacing w:line="360" w:lineRule="auto"/>
              <w:rPr>
                <w:rFonts w:hint="eastAsia" w:ascii="宋体" w:hAnsi="宋体" w:eastAsia="宋体" w:cs="宋体"/>
                <w:color w:val="auto"/>
                <w:highlight w:val="none"/>
              </w:rPr>
            </w:pPr>
          </w:p>
        </w:tc>
        <w:tc>
          <w:tcPr>
            <w:tcW w:w="2468" w:type="dxa"/>
            <w:vMerge w:val="continue"/>
            <w:vAlign w:val="center"/>
          </w:tcPr>
          <w:p>
            <w:pPr>
              <w:shd w:val="clear" w:fill="FFFFFF" w:themeFill="background1"/>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2206" w:type="dxa"/>
          </w:tcPr>
          <w:p>
            <w:pPr>
              <w:shd w:val="clear" w:fill="FFFFFF" w:themeFill="background1"/>
              <w:spacing w:line="360" w:lineRule="auto"/>
              <w:rPr>
                <w:rFonts w:hint="eastAsia" w:ascii="宋体" w:hAnsi="宋体" w:eastAsia="宋体" w:cs="宋体"/>
                <w:color w:val="auto"/>
                <w:highlight w:val="none"/>
              </w:rPr>
            </w:pPr>
          </w:p>
        </w:tc>
        <w:tc>
          <w:tcPr>
            <w:tcW w:w="2113" w:type="dxa"/>
          </w:tcPr>
          <w:p>
            <w:pPr>
              <w:shd w:val="clear" w:fill="FFFFFF" w:themeFill="background1"/>
              <w:spacing w:line="360" w:lineRule="auto"/>
              <w:rPr>
                <w:rFonts w:hint="eastAsia" w:ascii="宋体" w:hAnsi="宋体" w:eastAsia="宋体" w:cs="宋体"/>
                <w:color w:val="auto"/>
                <w:highlight w:val="none"/>
              </w:rPr>
            </w:pPr>
          </w:p>
        </w:tc>
        <w:tc>
          <w:tcPr>
            <w:tcW w:w="2656" w:type="dxa"/>
          </w:tcPr>
          <w:p>
            <w:pPr>
              <w:shd w:val="clear" w:fill="FFFFFF" w:themeFill="background1"/>
              <w:spacing w:line="360" w:lineRule="auto"/>
              <w:rPr>
                <w:rFonts w:hint="eastAsia" w:ascii="宋体" w:hAnsi="宋体" w:eastAsia="宋体" w:cs="宋体"/>
                <w:color w:val="auto"/>
                <w:highlight w:val="none"/>
              </w:rPr>
            </w:pPr>
          </w:p>
        </w:tc>
        <w:tc>
          <w:tcPr>
            <w:tcW w:w="2468" w:type="dxa"/>
            <w:vMerge w:val="continue"/>
            <w:vAlign w:val="center"/>
          </w:tcPr>
          <w:p>
            <w:pPr>
              <w:shd w:val="clear" w:fill="FFFFFF" w:themeFill="background1"/>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2206" w:type="dxa"/>
          </w:tcPr>
          <w:p>
            <w:pPr>
              <w:shd w:val="clear" w:fill="FFFFFF" w:themeFill="background1"/>
              <w:spacing w:line="360" w:lineRule="auto"/>
              <w:rPr>
                <w:rFonts w:hint="eastAsia" w:ascii="宋体" w:hAnsi="宋体" w:eastAsia="宋体" w:cs="宋体"/>
                <w:color w:val="auto"/>
                <w:highlight w:val="none"/>
              </w:rPr>
            </w:pPr>
          </w:p>
        </w:tc>
        <w:tc>
          <w:tcPr>
            <w:tcW w:w="2113" w:type="dxa"/>
          </w:tcPr>
          <w:p>
            <w:pPr>
              <w:shd w:val="clear" w:fill="FFFFFF" w:themeFill="background1"/>
              <w:spacing w:line="360" w:lineRule="auto"/>
              <w:rPr>
                <w:rFonts w:hint="eastAsia" w:ascii="宋体" w:hAnsi="宋体" w:eastAsia="宋体" w:cs="宋体"/>
                <w:color w:val="auto"/>
                <w:highlight w:val="none"/>
              </w:rPr>
            </w:pPr>
          </w:p>
        </w:tc>
        <w:tc>
          <w:tcPr>
            <w:tcW w:w="2656" w:type="dxa"/>
          </w:tcPr>
          <w:p>
            <w:pPr>
              <w:shd w:val="clear" w:fill="FFFFFF" w:themeFill="background1"/>
              <w:spacing w:line="360" w:lineRule="auto"/>
              <w:rPr>
                <w:rFonts w:hint="eastAsia" w:ascii="宋体" w:hAnsi="宋体" w:eastAsia="宋体" w:cs="宋体"/>
                <w:color w:val="auto"/>
                <w:highlight w:val="none"/>
              </w:rPr>
            </w:pPr>
          </w:p>
        </w:tc>
        <w:tc>
          <w:tcPr>
            <w:tcW w:w="2468" w:type="dxa"/>
            <w:vMerge w:val="continue"/>
            <w:vAlign w:val="center"/>
          </w:tcPr>
          <w:p>
            <w:pPr>
              <w:shd w:val="clear" w:fill="FFFFFF" w:themeFill="background1"/>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2206" w:type="dxa"/>
          </w:tcPr>
          <w:p>
            <w:pPr>
              <w:shd w:val="clear" w:fill="FFFFFF" w:themeFill="background1"/>
              <w:spacing w:line="360" w:lineRule="auto"/>
              <w:rPr>
                <w:rFonts w:hint="eastAsia" w:ascii="宋体" w:hAnsi="宋体" w:eastAsia="宋体" w:cs="宋体"/>
                <w:color w:val="auto"/>
                <w:highlight w:val="none"/>
              </w:rPr>
            </w:pPr>
          </w:p>
        </w:tc>
        <w:tc>
          <w:tcPr>
            <w:tcW w:w="2113" w:type="dxa"/>
          </w:tcPr>
          <w:p>
            <w:pPr>
              <w:shd w:val="clear" w:fill="FFFFFF" w:themeFill="background1"/>
              <w:spacing w:line="360" w:lineRule="auto"/>
              <w:rPr>
                <w:rFonts w:hint="eastAsia" w:ascii="宋体" w:hAnsi="宋体" w:eastAsia="宋体" w:cs="宋体"/>
                <w:color w:val="auto"/>
                <w:highlight w:val="none"/>
              </w:rPr>
            </w:pPr>
          </w:p>
        </w:tc>
        <w:tc>
          <w:tcPr>
            <w:tcW w:w="2656" w:type="dxa"/>
          </w:tcPr>
          <w:p>
            <w:pPr>
              <w:shd w:val="clear" w:fill="FFFFFF" w:themeFill="background1"/>
              <w:spacing w:line="360" w:lineRule="auto"/>
              <w:rPr>
                <w:rFonts w:hint="eastAsia" w:ascii="宋体" w:hAnsi="宋体" w:eastAsia="宋体" w:cs="宋体"/>
                <w:color w:val="auto"/>
                <w:highlight w:val="none"/>
              </w:rPr>
            </w:pPr>
          </w:p>
        </w:tc>
        <w:tc>
          <w:tcPr>
            <w:tcW w:w="2468" w:type="dxa"/>
            <w:vMerge w:val="continue"/>
            <w:vAlign w:val="center"/>
          </w:tcPr>
          <w:p>
            <w:pPr>
              <w:shd w:val="clear" w:fill="FFFFFF" w:themeFill="background1"/>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2206" w:type="dxa"/>
          </w:tcPr>
          <w:p>
            <w:pPr>
              <w:shd w:val="clear" w:fill="FFFFFF" w:themeFill="background1"/>
              <w:spacing w:line="360" w:lineRule="auto"/>
              <w:rPr>
                <w:rFonts w:hint="eastAsia" w:ascii="宋体" w:hAnsi="宋体" w:eastAsia="宋体" w:cs="宋体"/>
                <w:color w:val="auto"/>
                <w:highlight w:val="none"/>
              </w:rPr>
            </w:pPr>
          </w:p>
        </w:tc>
        <w:tc>
          <w:tcPr>
            <w:tcW w:w="2113" w:type="dxa"/>
          </w:tcPr>
          <w:p>
            <w:pPr>
              <w:shd w:val="clear" w:fill="FFFFFF" w:themeFill="background1"/>
              <w:spacing w:line="360" w:lineRule="auto"/>
              <w:rPr>
                <w:rFonts w:hint="eastAsia" w:ascii="宋体" w:hAnsi="宋体" w:eastAsia="宋体" w:cs="宋体"/>
                <w:color w:val="auto"/>
                <w:highlight w:val="none"/>
              </w:rPr>
            </w:pPr>
          </w:p>
        </w:tc>
        <w:tc>
          <w:tcPr>
            <w:tcW w:w="2656" w:type="dxa"/>
          </w:tcPr>
          <w:p>
            <w:pPr>
              <w:shd w:val="clear" w:fill="FFFFFF" w:themeFill="background1"/>
              <w:spacing w:line="360" w:lineRule="auto"/>
              <w:rPr>
                <w:rFonts w:hint="eastAsia" w:ascii="宋体" w:hAnsi="宋体" w:eastAsia="宋体" w:cs="宋体"/>
                <w:color w:val="auto"/>
                <w:highlight w:val="none"/>
              </w:rPr>
            </w:pPr>
          </w:p>
        </w:tc>
        <w:tc>
          <w:tcPr>
            <w:tcW w:w="2468" w:type="dxa"/>
            <w:vMerge w:val="continue"/>
            <w:vAlign w:val="center"/>
          </w:tcPr>
          <w:p>
            <w:pPr>
              <w:shd w:val="clear" w:fill="FFFFFF" w:themeFill="background1"/>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76" w:hRule="atLeast"/>
        </w:trPr>
        <w:tc>
          <w:tcPr>
            <w:tcW w:w="2206" w:type="dxa"/>
          </w:tcPr>
          <w:p>
            <w:pPr>
              <w:shd w:val="clear" w:fill="FFFFFF" w:themeFill="background1"/>
              <w:spacing w:line="360" w:lineRule="auto"/>
              <w:rPr>
                <w:rFonts w:hint="eastAsia" w:ascii="宋体" w:hAnsi="宋体" w:eastAsia="宋体" w:cs="宋体"/>
                <w:color w:val="auto"/>
                <w:highlight w:val="none"/>
              </w:rPr>
            </w:pPr>
          </w:p>
        </w:tc>
        <w:tc>
          <w:tcPr>
            <w:tcW w:w="2113" w:type="dxa"/>
          </w:tcPr>
          <w:p>
            <w:pPr>
              <w:shd w:val="clear" w:fill="FFFFFF" w:themeFill="background1"/>
              <w:spacing w:line="360" w:lineRule="auto"/>
              <w:rPr>
                <w:rFonts w:hint="eastAsia" w:ascii="宋体" w:hAnsi="宋体" w:eastAsia="宋体" w:cs="宋体"/>
                <w:color w:val="auto"/>
                <w:highlight w:val="none"/>
              </w:rPr>
            </w:pPr>
          </w:p>
        </w:tc>
        <w:tc>
          <w:tcPr>
            <w:tcW w:w="2656" w:type="dxa"/>
          </w:tcPr>
          <w:p>
            <w:pPr>
              <w:shd w:val="clear" w:fill="FFFFFF" w:themeFill="background1"/>
              <w:spacing w:line="360" w:lineRule="auto"/>
              <w:rPr>
                <w:rFonts w:hint="eastAsia" w:ascii="宋体" w:hAnsi="宋体" w:eastAsia="宋体" w:cs="宋体"/>
                <w:color w:val="auto"/>
                <w:highlight w:val="none"/>
              </w:rPr>
            </w:pPr>
          </w:p>
        </w:tc>
        <w:tc>
          <w:tcPr>
            <w:tcW w:w="2468" w:type="dxa"/>
            <w:vMerge w:val="continue"/>
            <w:vAlign w:val="center"/>
          </w:tcPr>
          <w:p>
            <w:pPr>
              <w:shd w:val="clear" w:fill="FFFFFF" w:themeFill="background1"/>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2206" w:type="dxa"/>
          </w:tcPr>
          <w:p>
            <w:pPr>
              <w:shd w:val="clear" w:fill="FFFFFF" w:themeFill="background1"/>
              <w:spacing w:line="360" w:lineRule="auto"/>
              <w:rPr>
                <w:rFonts w:hint="eastAsia" w:ascii="宋体" w:hAnsi="宋体" w:eastAsia="宋体" w:cs="宋体"/>
                <w:color w:val="auto"/>
                <w:highlight w:val="none"/>
              </w:rPr>
            </w:pPr>
          </w:p>
        </w:tc>
        <w:tc>
          <w:tcPr>
            <w:tcW w:w="2113" w:type="dxa"/>
          </w:tcPr>
          <w:p>
            <w:pPr>
              <w:shd w:val="clear" w:fill="FFFFFF" w:themeFill="background1"/>
              <w:spacing w:line="360" w:lineRule="auto"/>
              <w:rPr>
                <w:rFonts w:hint="eastAsia" w:ascii="宋体" w:hAnsi="宋体" w:eastAsia="宋体" w:cs="宋体"/>
                <w:color w:val="auto"/>
                <w:highlight w:val="none"/>
              </w:rPr>
            </w:pPr>
          </w:p>
        </w:tc>
        <w:tc>
          <w:tcPr>
            <w:tcW w:w="2656" w:type="dxa"/>
          </w:tcPr>
          <w:p>
            <w:pPr>
              <w:shd w:val="clear" w:fill="FFFFFF" w:themeFill="background1"/>
              <w:spacing w:line="360" w:lineRule="auto"/>
              <w:rPr>
                <w:rFonts w:hint="eastAsia" w:ascii="宋体" w:hAnsi="宋体" w:eastAsia="宋体" w:cs="宋体"/>
                <w:color w:val="auto"/>
                <w:highlight w:val="none"/>
              </w:rPr>
            </w:pPr>
          </w:p>
        </w:tc>
        <w:tc>
          <w:tcPr>
            <w:tcW w:w="2468" w:type="dxa"/>
            <w:vMerge w:val="continue"/>
            <w:vAlign w:val="center"/>
          </w:tcPr>
          <w:p>
            <w:pPr>
              <w:shd w:val="clear" w:fill="FFFFFF" w:themeFill="background1"/>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2206" w:type="dxa"/>
          </w:tcPr>
          <w:p>
            <w:pPr>
              <w:shd w:val="clear" w:fill="FFFFFF" w:themeFill="background1"/>
              <w:spacing w:line="360" w:lineRule="auto"/>
              <w:rPr>
                <w:rFonts w:hint="eastAsia" w:ascii="宋体" w:hAnsi="宋体" w:eastAsia="宋体" w:cs="宋体"/>
                <w:color w:val="auto"/>
                <w:highlight w:val="none"/>
              </w:rPr>
            </w:pPr>
          </w:p>
        </w:tc>
        <w:tc>
          <w:tcPr>
            <w:tcW w:w="2113" w:type="dxa"/>
          </w:tcPr>
          <w:p>
            <w:pPr>
              <w:shd w:val="clear" w:fill="FFFFFF" w:themeFill="background1"/>
              <w:spacing w:line="360" w:lineRule="auto"/>
              <w:rPr>
                <w:rFonts w:hint="eastAsia" w:ascii="宋体" w:hAnsi="宋体" w:eastAsia="宋体" w:cs="宋体"/>
                <w:color w:val="auto"/>
                <w:highlight w:val="none"/>
              </w:rPr>
            </w:pPr>
          </w:p>
        </w:tc>
        <w:tc>
          <w:tcPr>
            <w:tcW w:w="2656" w:type="dxa"/>
          </w:tcPr>
          <w:p>
            <w:pPr>
              <w:shd w:val="clear" w:fill="FFFFFF" w:themeFill="background1"/>
              <w:spacing w:line="360" w:lineRule="auto"/>
              <w:rPr>
                <w:rFonts w:hint="eastAsia" w:ascii="宋体" w:hAnsi="宋体" w:eastAsia="宋体" w:cs="宋体"/>
                <w:color w:val="auto"/>
                <w:highlight w:val="none"/>
              </w:rPr>
            </w:pPr>
          </w:p>
        </w:tc>
        <w:tc>
          <w:tcPr>
            <w:tcW w:w="2468" w:type="dxa"/>
            <w:vMerge w:val="continue"/>
            <w:vAlign w:val="center"/>
          </w:tcPr>
          <w:p>
            <w:pPr>
              <w:shd w:val="clear" w:fill="FFFFFF" w:themeFill="background1"/>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2206" w:type="dxa"/>
          </w:tcPr>
          <w:p>
            <w:pPr>
              <w:shd w:val="clear" w:fill="FFFFFF" w:themeFill="background1"/>
              <w:spacing w:line="360" w:lineRule="auto"/>
              <w:rPr>
                <w:rFonts w:hint="eastAsia" w:ascii="宋体" w:hAnsi="宋体" w:eastAsia="宋体" w:cs="宋体"/>
                <w:color w:val="auto"/>
                <w:highlight w:val="none"/>
              </w:rPr>
            </w:pPr>
          </w:p>
        </w:tc>
        <w:tc>
          <w:tcPr>
            <w:tcW w:w="2113" w:type="dxa"/>
          </w:tcPr>
          <w:p>
            <w:pPr>
              <w:shd w:val="clear" w:fill="FFFFFF" w:themeFill="background1"/>
              <w:spacing w:line="360" w:lineRule="auto"/>
              <w:rPr>
                <w:rFonts w:hint="eastAsia" w:ascii="宋体" w:hAnsi="宋体" w:eastAsia="宋体" w:cs="宋体"/>
                <w:color w:val="auto"/>
                <w:highlight w:val="none"/>
              </w:rPr>
            </w:pPr>
          </w:p>
        </w:tc>
        <w:tc>
          <w:tcPr>
            <w:tcW w:w="2656" w:type="dxa"/>
          </w:tcPr>
          <w:p>
            <w:pPr>
              <w:shd w:val="clear" w:fill="FFFFFF" w:themeFill="background1"/>
              <w:spacing w:line="360" w:lineRule="auto"/>
              <w:rPr>
                <w:rFonts w:hint="eastAsia" w:ascii="宋体" w:hAnsi="宋体" w:eastAsia="宋体" w:cs="宋体"/>
                <w:color w:val="auto"/>
                <w:highlight w:val="none"/>
              </w:rPr>
            </w:pPr>
          </w:p>
        </w:tc>
        <w:tc>
          <w:tcPr>
            <w:tcW w:w="2468" w:type="dxa"/>
            <w:vMerge w:val="continue"/>
            <w:vAlign w:val="center"/>
          </w:tcPr>
          <w:p>
            <w:pPr>
              <w:shd w:val="clear" w:fill="FFFFFF" w:themeFill="background1"/>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2206" w:type="dxa"/>
          </w:tcPr>
          <w:p>
            <w:pPr>
              <w:shd w:val="clear" w:fill="FFFFFF" w:themeFill="background1"/>
              <w:spacing w:line="360" w:lineRule="auto"/>
              <w:rPr>
                <w:rFonts w:hint="eastAsia" w:ascii="宋体" w:hAnsi="宋体" w:eastAsia="宋体" w:cs="宋体"/>
                <w:color w:val="auto"/>
                <w:highlight w:val="none"/>
              </w:rPr>
            </w:pPr>
          </w:p>
        </w:tc>
        <w:tc>
          <w:tcPr>
            <w:tcW w:w="2113" w:type="dxa"/>
          </w:tcPr>
          <w:p>
            <w:pPr>
              <w:shd w:val="clear" w:fill="FFFFFF" w:themeFill="background1"/>
              <w:spacing w:line="360" w:lineRule="auto"/>
              <w:rPr>
                <w:rFonts w:hint="eastAsia" w:ascii="宋体" w:hAnsi="宋体" w:eastAsia="宋体" w:cs="宋体"/>
                <w:color w:val="auto"/>
                <w:highlight w:val="none"/>
              </w:rPr>
            </w:pPr>
          </w:p>
        </w:tc>
        <w:tc>
          <w:tcPr>
            <w:tcW w:w="2656" w:type="dxa"/>
          </w:tcPr>
          <w:p>
            <w:pPr>
              <w:shd w:val="clear" w:fill="FFFFFF" w:themeFill="background1"/>
              <w:spacing w:line="360" w:lineRule="auto"/>
              <w:rPr>
                <w:rFonts w:hint="eastAsia" w:ascii="宋体" w:hAnsi="宋体" w:eastAsia="宋体" w:cs="宋体"/>
                <w:color w:val="auto"/>
                <w:highlight w:val="none"/>
              </w:rPr>
            </w:pPr>
          </w:p>
        </w:tc>
        <w:tc>
          <w:tcPr>
            <w:tcW w:w="2468" w:type="dxa"/>
            <w:vMerge w:val="continue"/>
            <w:vAlign w:val="center"/>
          </w:tcPr>
          <w:p>
            <w:pPr>
              <w:shd w:val="clear" w:fill="FFFFFF" w:themeFill="background1"/>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trPr>
        <w:tc>
          <w:tcPr>
            <w:tcW w:w="2206" w:type="dxa"/>
          </w:tcPr>
          <w:p>
            <w:pPr>
              <w:shd w:val="clear" w:fill="FFFFFF" w:themeFill="background1"/>
              <w:spacing w:line="360" w:lineRule="auto"/>
              <w:rPr>
                <w:rFonts w:hint="eastAsia" w:ascii="宋体" w:hAnsi="宋体" w:eastAsia="宋体" w:cs="宋体"/>
                <w:color w:val="auto"/>
                <w:highlight w:val="none"/>
              </w:rPr>
            </w:pPr>
          </w:p>
        </w:tc>
        <w:tc>
          <w:tcPr>
            <w:tcW w:w="2113" w:type="dxa"/>
          </w:tcPr>
          <w:p>
            <w:pPr>
              <w:shd w:val="clear" w:fill="FFFFFF" w:themeFill="background1"/>
              <w:spacing w:line="360" w:lineRule="auto"/>
              <w:rPr>
                <w:rFonts w:hint="eastAsia" w:ascii="宋体" w:hAnsi="宋体" w:eastAsia="宋体" w:cs="宋体"/>
                <w:color w:val="auto"/>
                <w:highlight w:val="none"/>
              </w:rPr>
            </w:pPr>
          </w:p>
        </w:tc>
        <w:tc>
          <w:tcPr>
            <w:tcW w:w="2656" w:type="dxa"/>
          </w:tcPr>
          <w:p>
            <w:pPr>
              <w:shd w:val="clear" w:fill="FFFFFF" w:themeFill="background1"/>
              <w:spacing w:line="360" w:lineRule="auto"/>
              <w:rPr>
                <w:rFonts w:hint="eastAsia" w:ascii="宋体" w:hAnsi="宋体" w:eastAsia="宋体" w:cs="宋体"/>
                <w:color w:val="auto"/>
                <w:highlight w:val="none"/>
              </w:rPr>
            </w:pPr>
          </w:p>
        </w:tc>
        <w:tc>
          <w:tcPr>
            <w:tcW w:w="2468" w:type="dxa"/>
            <w:vMerge w:val="continue"/>
            <w:vAlign w:val="center"/>
          </w:tcPr>
          <w:p>
            <w:pPr>
              <w:shd w:val="clear" w:fill="FFFFFF" w:themeFill="background1"/>
              <w:rPr>
                <w:rFonts w:hint="eastAsia" w:ascii="宋体" w:hAnsi="宋体" w:eastAsia="宋体" w:cs="宋体"/>
                <w:color w:val="auto"/>
                <w:highlight w:val="none"/>
              </w:rPr>
            </w:pPr>
          </w:p>
        </w:tc>
      </w:tr>
    </w:tbl>
    <w:p>
      <w:pPr>
        <w:shd w:val="clear" w:fill="FFFFFF" w:themeFill="background1"/>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备注：本表所列分包仅为承包人自行施工范围内的非主体工程。</w:t>
      </w:r>
    </w:p>
    <w:p>
      <w:pPr>
        <w:shd w:val="clear" w:fill="FFFFFF" w:themeFill="background1"/>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表后附分包人营业执照 、资质证书副本（如有要求）复印件加盖分包人单位章。</w:t>
      </w:r>
    </w:p>
    <w:p>
      <w:pPr>
        <w:shd w:val="clear" w:fill="FFFFFF" w:themeFill="background1"/>
        <w:spacing w:line="440" w:lineRule="exact"/>
        <w:jc w:val="righ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日期：     年    月    日  </w:t>
      </w:r>
    </w:p>
    <w:p>
      <w:pPr>
        <w:shd w:val="clear" w:fill="FFFFFF" w:themeFill="background1"/>
        <w:rPr>
          <w:rFonts w:hint="eastAsia" w:ascii="宋体" w:hAnsi="宋体" w:eastAsia="宋体" w:cs="宋体"/>
          <w:b/>
          <w:bCs/>
          <w:color w:val="auto"/>
          <w:sz w:val="28"/>
          <w:szCs w:val="28"/>
          <w:highlight w:val="none"/>
        </w:rPr>
      </w:pPr>
      <w:bookmarkStart w:id="466" w:name="_Toc30395"/>
      <w:bookmarkStart w:id="467" w:name="_Toc688"/>
      <w:r>
        <w:rPr>
          <w:rFonts w:hint="eastAsia" w:ascii="宋体" w:hAnsi="宋体" w:eastAsia="宋体" w:cs="宋体"/>
          <w:color w:val="auto"/>
          <w:highlight w:val="none"/>
        </w:rPr>
        <w:br w:type="page"/>
      </w:r>
      <w:r>
        <w:rPr>
          <w:rFonts w:hint="eastAsia" w:ascii="宋体" w:hAnsi="宋体" w:eastAsia="宋体" w:cs="宋体"/>
          <w:b/>
          <w:bCs/>
          <w:color w:val="auto"/>
          <w:sz w:val="28"/>
          <w:szCs w:val="28"/>
          <w:highlight w:val="none"/>
        </w:rPr>
        <w:t>2.8资格审查资料</w:t>
      </w:r>
      <w:bookmarkEnd w:id="466"/>
      <w:bookmarkEnd w:id="467"/>
    </w:p>
    <w:p>
      <w:pPr>
        <w:shd w:val="clear" w:fill="FFFFFF" w:themeFill="background1"/>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（1）投标人基本情况表</w:t>
      </w:r>
    </w:p>
    <w:p>
      <w:pPr>
        <w:shd w:val="clear" w:fill="FFFFFF" w:themeFill="background1"/>
        <w:spacing w:line="360" w:lineRule="auto"/>
        <w:rPr>
          <w:rFonts w:hint="eastAsia" w:ascii="宋体" w:hAnsi="宋体" w:eastAsia="宋体" w:cs="宋体"/>
          <w:b/>
          <w:bCs/>
          <w:color w:val="auto"/>
          <w:sz w:val="24"/>
          <w:highlight w:val="none"/>
        </w:rPr>
      </w:pPr>
    </w:p>
    <w:tbl>
      <w:tblPr>
        <w:tblStyle w:val="31"/>
        <w:tblW w:w="8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983"/>
        <w:gridCol w:w="1576"/>
        <w:gridCol w:w="1133"/>
        <w:gridCol w:w="816"/>
        <w:gridCol w:w="328"/>
        <w:gridCol w:w="151"/>
        <w:gridCol w:w="680"/>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1755"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投标人名称</w:t>
            </w:r>
          </w:p>
        </w:tc>
        <w:tc>
          <w:tcPr>
            <w:tcW w:w="6874" w:type="dxa"/>
            <w:gridSpan w:val="8"/>
            <w:vAlign w:val="center"/>
          </w:tcPr>
          <w:p>
            <w:pPr>
              <w:shd w:val="clear" w:fill="FFFFFF" w:themeFill="background1"/>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755"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注册地址</w:t>
            </w:r>
          </w:p>
        </w:tc>
        <w:tc>
          <w:tcPr>
            <w:tcW w:w="3692" w:type="dxa"/>
            <w:gridSpan w:val="3"/>
            <w:vAlign w:val="center"/>
          </w:tcPr>
          <w:p>
            <w:pPr>
              <w:shd w:val="clear" w:fill="FFFFFF" w:themeFill="background1"/>
              <w:spacing w:line="360" w:lineRule="auto"/>
              <w:jc w:val="center"/>
              <w:rPr>
                <w:rFonts w:hint="eastAsia" w:ascii="宋体" w:hAnsi="宋体" w:eastAsia="宋体" w:cs="宋体"/>
                <w:color w:val="auto"/>
                <w:highlight w:val="none"/>
              </w:rPr>
            </w:pPr>
          </w:p>
        </w:tc>
        <w:tc>
          <w:tcPr>
            <w:tcW w:w="1144" w:type="dxa"/>
            <w:gridSpan w:val="2"/>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邮政编码</w:t>
            </w:r>
          </w:p>
        </w:tc>
        <w:tc>
          <w:tcPr>
            <w:tcW w:w="2038" w:type="dxa"/>
            <w:gridSpan w:val="3"/>
            <w:vAlign w:val="center"/>
          </w:tcPr>
          <w:p>
            <w:pPr>
              <w:shd w:val="clear" w:fill="FFFFFF" w:themeFill="background1"/>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755" w:type="dxa"/>
            <w:vMerge w:val="restart"/>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983"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2709" w:type="dxa"/>
            <w:gridSpan w:val="2"/>
            <w:vAlign w:val="center"/>
          </w:tcPr>
          <w:p>
            <w:pPr>
              <w:shd w:val="clear" w:fill="FFFFFF" w:themeFill="background1"/>
              <w:spacing w:line="360" w:lineRule="auto"/>
              <w:jc w:val="center"/>
              <w:rPr>
                <w:rFonts w:hint="eastAsia" w:ascii="宋体" w:hAnsi="宋体" w:eastAsia="宋体" w:cs="宋体"/>
                <w:color w:val="auto"/>
                <w:highlight w:val="none"/>
              </w:rPr>
            </w:pPr>
          </w:p>
        </w:tc>
        <w:tc>
          <w:tcPr>
            <w:tcW w:w="1144" w:type="dxa"/>
            <w:gridSpan w:val="2"/>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2038" w:type="dxa"/>
            <w:gridSpan w:val="3"/>
            <w:vAlign w:val="center"/>
          </w:tcPr>
          <w:p>
            <w:pPr>
              <w:shd w:val="clear" w:fill="FFFFFF" w:themeFill="background1"/>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755" w:type="dxa"/>
            <w:vMerge w:val="continue"/>
            <w:vAlign w:val="center"/>
          </w:tcPr>
          <w:p>
            <w:pPr>
              <w:shd w:val="clear" w:fill="FFFFFF" w:themeFill="background1"/>
              <w:rPr>
                <w:rFonts w:hint="eastAsia" w:ascii="宋体" w:hAnsi="宋体" w:eastAsia="宋体" w:cs="宋体"/>
                <w:color w:val="auto"/>
                <w:highlight w:val="none"/>
              </w:rPr>
            </w:pPr>
          </w:p>
        </w:tc>
        <w:tc>
          <w:tcPr>
            <w:tcW w:w="983"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传真</w:t>
            </w:r>
          </w:p>
        </w:tc>
        <w:tc>
          <w:tcPr>
            <w:tcW w:w="2709" w:type="dxa"/>
            <w:gridSpan w:val="2"/>
            <w:vAlign w:val="center"/>
          </w:tcPr>
          <w:p>
            <w:pPr>
              <w:shd w:val="clear" w:fill="FFFFFF" w:themeFill="background1"/>
              <w:spacing w:line="360" w:lineRule="auto"/>
              <w:jc w:val="center"/>
              <w:rPr>
                <w:rFonts w:hint="eastAsia" w:ascii="宋体" w:hAnsi="宋体" w:eastAsia="宋体" w:cs="宋体"/>
                <w:color w:val="auto"/>
                <w:highlight w:val="none"/>
              </w:rPr>
            </w:pPr>
          </w:p>
        </w:tc>
        <w:tc>
          <w:tcPr>
            <w:tcW w:w="1144" w:type="dxa"/>
            <w:gridSpan w:val="2"/>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网址</w:t>
            </w:r>
          </w:p>
        </w:tc>
        <w:tc>
          <w:tcPr>
            <w:tcW w:w="2038" w:type="dxa"/>
            <w:gridSpan w:val="3"/>
            <w:vAlign w:val="center"/>
          </w:tcPr>
          <w:p>
            <w:pPr>
              <w:shd w:val="clear" w:fill="FFFFFF" w:themeFill="background1"/>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755"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组织结构</w:t>
            </w:r>
          </w:p>
        </w:tc>
        <w:tc>
          <w:tcPr>
            <w:tcW w:w="6874" w:type="dxa"/>
            <w:gridSpan w:val="8"/>
            <w:vAlign w:val="center"/>
          </w:tcPr>
          <w:p>
            <w:pPr>
              <w:shd w:val="clear" w:fill="FFFFFF" w:themeFill="background1"/>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1" w:hRule="atLeast"/>
          <w:jc w:val="center"/>
        </w:trPr>
        <w:tc>
          <w:tcPr>
            <w:tcW w:w="1755"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983"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576" w:type="dxa"/>
            <w:vAlign w:val="center"/>
          </w:tcPr>
          <w:p>
            <w:pPr>
              <w:shd w:val="clear" w:fill="FFFFFF" w:themeFill="background1"/>
              <w:spacing w:line="360" w:lineRule="auto"/>
              <w:jc w:val="center"/>
              <w:rPr>
                <w:rFonts w:hint="eastAsia" w:ascii="宋体" w:hAnsi="宋体" w:eastAsia="宋体" w:cs="宋体"/>
                <w:color w:val="auto"/>
                <w:highlight w:val="none"/>
              </w:rPr>
            </w:pPr>
          </w:p>
        </w:tc>
        <w:tc>
          <w:tcPr>
            <w:tcW w:w="1133"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295" w:type="dxa"/>
            <w:gridSpan w:val="3"/>
            <w:vAlign w:val="center"/>
          </w:tcPr>
          <w:p>
            <w:pPr>
              <w:shd w:val="clear" w:fill="FFFFFF" w:themeFill="background1"/>
              <w:spacing w:line="360" w:lineRule="auto"/>
              <w:jc w:val="center"/>
              <w:rPr>
                <w:rFonts w:hint="eastAsia" w:ascii="宋体" w:hAnsi="宋体" w:eastAsia="宋体" w:cs="宋体"/>
                <w:color w:val="auto"/>
                <w:highlight w:val="none"/>
              </w:rPr>
            </w:pPr>
          </w:p>
        </w:tc>
        <w:tc>
          <w:tcPr>
            <w:tcW w:w="680"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207" w:type="dxa"/>
            <w:vAlign w:val="center"/>
          </w:tcPr>
          <w:p>
            <w:pPr>
              <w:shd w:val="clear" w:fill="FFFFFF" w:themeFill="background1"/>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755"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技术负责人</w:t>
            </w:r>
          </w:p>
        </w:tc>
        <w:tc>
          <w:tcPr>
            <w:tcW w:w="983"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576" w:type="dxa"/>
            <w:vAlign w:val="center"/>
          </w:tcPr>
          <w:p>
            <w:pPr>
              <w:shd w:val="clear" w:fill="FFFFFF" w:themeFill="background1"/>
              <w:spacing w:line="360" w:lineRule="auto"/>
              <w:jc w:val="center"/>
              <w:rPr>
                <w:rFonts w:hint="eastAsia" w:ascii="宋体" w:hAnsi="宋体" w:eastAsia="宋体" w:cs="宋体"/>
                <w:color w:val="auto"/>
                <w:highlight w:val="none"/>
              </w:rPr>
            </w:pPr>
          </w:p>
        </w:tc>
        <w:tc>
          <w:tcPr>
            <w:tcW w:w="1133"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295" w:type="dxa"/>
            <w:gridSpan w:val="3"/>
            <w:vAlign w:val="center"/>
          </w:tcPr>
          <w:p>
            <w:pPr>
              <w:shd w:val="clear" w:fill="FFFFFF" w:themeFill="background1"/>
              <w:spacing w:line="360" w:lineRule="auto"/>
              <w:jc w:val="center"/>
              <w:rPr>
                <w:rFonts w:hint="eastAsia" w:ascii="宋体" w:hAnsi="宋体" w:eastAsia="宋体" w:cs="宋体"/>
                <w:color w:val="auto"/>
                <w:highlight w:val="none"/>
              </w:rPr>
            </w:pPr>
          </w:p>
        </w:tc>
        <w:tc>
          <w:tcPr>
            <w:tcW w:w="680"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207" w:type="dxa"/>
            <w:vAlign w:val="center"/>
          </w:tcPr>
          <w:p>
            <w:pPr>
              <w:shd w:val="clear" w:fill="FFFFFF" w:themeFill="background1"/>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755"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成立时间</w:t>
            </w:r>
          </w:p>
        </w:tc>
        <w:tc>
          <w:tcPr>
            <w:tcW w:w="2559" w:type="dxa"/>
            <w:gridSpan w:val="2"/>
            <w:vAlign w:val="center"/>
          </w:tcPr>
          <w:p>
            <w:pPr>
              <w:shd w:val="clear" w:fill="FFFFFF" w:themeFill="background1"/>
              <w:spacing w:line="360" w:lineRule="auto"/>
              <w:jc w:val="center"/>
              <w:rPr>
                <w:rFonts w:hint="eastAsia" w:ascii="宋体" w:hAnsi="宋体" w:eastAsia="宋体" w:cs="宋体"/>
                <w:color w:val="auto"/>
                <w:highlight w:val="none"/>
              </w:rPr>
            </w:pPr>
          </w:p>
        </w:tc>
        <w:tc>
          <w:tcPr>
            <w:tcW w:w="4315" w:type="dxa"/>
            <w:gridSpan w:val="6"/>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本项目拟任项目经理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755"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企业资质等级</w:t>
            </w:r>
          </w:p>
        </w:tc>
        <w:tc>
          <w:tcPr>
            <w:tcW w:w="2559" w:type="dxa"/>
            <w:gridSpan w:val="2"/>
            <w:vAlign w:val="center"/>
          </w:tcPr>
          <w:p>
            <w:pPr>
              <w:shd w:val="clear" w:fill="FFFFFF" w:themeFill="background1"/>
              <w:spacing w:line="360" w:lineRule="auto"/>
              <w:jc w:val="center"/>
              <w:rPr>
                <w:rFonts w:hint="eastAsia" w:ascii="宋体" w:hAnsi="宋体" w:eastAsia="宋体" w:cs="宋体"/>
                <w:color w:val="auto"/>
                <w:highlight w:val="none"/>
              </w:rPr>
            </w:pPr>
          </w:p>
        </w:tc>
        <w:tc>
          <w:tcPr>
            <w:tcW w:w="1949" w:type="dxa"/>
            <w:gridSpan w:val="2"/>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注册建造师执业资格证书号</w:t>
            </w:r>
          </w:p>
        </w:tc>
        <w:tc>
          <w:tcPr>
            <w:tcW w:w="2366" w:type="dxa"/>
            <w:gridSpan w:val="4"/>
            <w:vAlign w:val="center"/>
          </w:tcPr>
          <w:p>
            <w:pPr>
              <w:shd w:val="clear" w:fill="FFFFFF" w:themeFill="background1"/>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755"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营业执照号</w:t>
            </w:r>
          </w:p>
        </w:tc>
        <w:tc>
          <w:tcPr>
            <w:tcW w:w="2559" w:type="dxa"/>
            <w:gridSpan w:val="2"/>
            <w:vAlign w:val="center"/>
          </w:tcPr>
          <w:p>
            <w:pPr>
              <w:shd w:val="clear" w:fill="FFFFFF" w:themeFill="background1"/>
              <w:spacing w:line="360" w:lineRule="auto"/>
              <w:jc w:val="center"/>
              <w:rPr>
                <w:rFonts w:hint="eastAsia" w:ascii="宋体" w:hAnsi="宋体" w:eastAsia="宋体" w:cs="宋体"/>
                <w:color w:val="auto"/>
                <w:highlight w:val="none"/>
              </w:rPr>
            </w:pPr>
          </w:p>
        </w:tc>
        <w:tc>
          <w:tcPr>
            <w:tcW w:w="1949" w:type="dxa"/>
            <w:gridSpan w:val="2"/>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安全生产考核合格证号</w:t>
            </w:r>
          </w:p>
        </w:tc>
        <w:tc>
          <w:tcPr>
            <w:tcW w:w="2366" w:type="dxa"/>
            <w:gridSpan w:val="4"/>
            <w:vAlign w:val="center"/>
          </w:tcPr>
          <w:p>
            <w:pPr>
              <w:shd w:val="clear" w:fill="FFFFFF" w:themeFill="background1"/>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755"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注册资金</w:t>
            </w:r>
          </w:p>
        </w:tc>
        <w:tc>
          <w:tcPr>
            <w:tcW w:w="2559" w:type="dxa"/>
            <w:gridSpan w:val="2"/>
            <w:vAlign w:val="center"/>
          </w:tcPr>
          <w:p>
            <w:pPr>
              <w:shd w:val="clear" w:fill="FFFFFF" w:themeFill="background1"/>
              <w:spacing w:line="360" w:lineRule="auto"/>
              <w:jc w:val="center"/>
              <w:rPr>
                <w:rFonts w:hint="eastAsia" w:ascii="宋体" w:hAnsi="宋体" w:eastAsia="宋体" w:cs="宋体"/>
                <w:color w:val="auto"/>
                <w:highlight w:val="none"/>
              </w:rPr>
            </w:pPr>
          </w:p>
        </w:tc>
        <w:tc>
          <w:tcPr>
            <w:tcW w:w="1949" w:type="dxa"/>
            <w:gridSpan w:val="2"/>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社会养老保险证号</w:t>
            </w:r>
          </w:p>
        </w:tc>
        <w:tc>
          <w:tcPr>
            <w:tcW w:w="2366" w:type="dxa"/>
            <w:gridSpan w:val="4"/>
            <w:vAlign w:val="center"/>
          </w:tcPr>
          <w:p>
            <w:pPr>
              <w:shd w:val="clear" w:fill="FFFFFF" w:themeFill="background1"/>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63" w:hRule="atLeast"/>
          <w:jc w:val="center"/>
        </w:trPr>
        <w:tc>
          <w:tcPr>
            <w:tcW w:w="1755"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开户银行</w:t>
            </w:r>
          </w:p>
        </w:tc>
        <w:tc>
          <w:tcPr>
            <w:tcW w:w="2559" w:type="dxa"/>
            <w:gridSpan w:val="2"/>
            <w:vAlign w:val="center"/>
          </w:tcPr>
          <w:p>
            <w:pPr>
              <w:shd w:val="clear" w:fill="FFFFFF" w:themeFill="background1"/>
              <w:spacing w:line="360" w:lineRule="auto"/>
              <w:jc w:val="center"/>
              <w:rPr>
                <w:rFonts w:hint="eastAsia" w:ascii="宋体" w:hAnsi="宋体" w:eastAsia="宋体" w:cs="宋体"/>
                <w:color w:val="auto"/>
                <w:highlight w:val="none"/>
              </w:rPr>
            </w:pPr>
          </w:p>
        </w:tc>
        <w:tc>
          <w:tcPr>
            <w:tcW w:w="1949" w:type="dxa"/>
            <w:gridSpan w:val="2"/>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职称证书</w:t>
            </w:r>
          </w:p>
        </w:tc>
        <w:tc>
          <w:tcPr>
            <w:tcW w:w="2366" w:type="dxa"/>
            <w:gridSpan w:val="4"/>
            <w:vAlign w:val="center"/>
          </w:tcPr>
          <w:p>
            <w:pPr>
              <w:shd w:val="clear" w:fill="FFFFFF" w:themeFill="background1"/>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755"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账号</w:t>
            </w:r>
          </w:p>
        </w:tc>
        <w:tc>
          <w:tcPr>
            <w:tcW w:w="2559" w:type="dxa"/>
            <w:gridSpan w:val="2"/>
            <w:vAlign w:val="center"/>
          </w:tcPr>
          <w:p>
            <w:pPr>
              <w:shd w:val="clear" w:fill="FFFFFF" w:themeFill="background1"/>
              <w:spacing w:line="360" w:lineRule="auto"/>
              <w:jc w:val="center"/>
              <w:rPr>
                <w:rFonts w:hint="eastAsia" w:ascii="宋体" w:hAnsi="宋体" w:eastAsia="宋体" w:cs="宋体"/>
                <w:color w:val="auto"/>
                <w:highlight w:val="none"/>
              </w:rPr>
            </w:pPr>
          </w:p>
        </w:tc>
        <w:tc>
          <w:tcPr>
            <w:tcW w:w="1949" w:type="dxa"/>
            <w:gridSpan w:val="2"/>
            <w:vAlign w:val="center"/>
          </w:tcPr>
          <w:p>
            <w:pPr>
              <w:shd w:val="clear" w:fill="FFFFFF" w:themeFill="background1"/>
              <w:spacing w:line="360" w:lineRule="auto"/>
              <w:jc w:val="center"/>
              <w:rPr>
                <w:rFonts w:hint="eastAsia" w:ascii="宋体" w:hAnsi="宋体" w:eastAsia="宋体" w:cs="宋体"/>
                <w:color w:val="auto"/>
                <w:highlight w:val="none"/>
              </w:rPr>
            </w:pPr>
          </w:p>
        </w:tc>
        <w:tc>
          <w:tcPr>
            <w:tcW w:w="2366" w:type="dxa"/>
            <w:gridSpan w:val="4"/>
            <w:vAlign w:val="center"/>
          </w:tcPr>
          <w:p>
            <w:pPr>
              <w:shd w:val="clear" w:fill="FFFFFF" w:themeFill="background1"/>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755"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经营范围</w:t>
            </w:r>
          </w:p>
        </w:tc>
        <w:tc>
          <w:tcPr>
            <w:tcW w:w="6874" w:type="dxa"/>
            <w:gridSpan w:val="8"/>
            <w:vAlign w:val="center"/>
          </w:tcPr>
          <w:p>
            <w:pPr>
              <w:shd w:val="clear" w:fill="FFFFFF" w:themeFill="background1"/>
              <w:spacing w:line="360" w:lineRule="auto"/>
              <w:ind w:firstLine="420" w:firstLineChars="20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755" w:type="dxa"/>
            <w:vAlign w:val="center"/>
          </w:tcPr>
          <w:p>
            <w:pPr>
              <w:shd w:val="clear" w:fill="FFFFFF" w:themeFill="background1"/>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6874" w:type="dxa"/>
            <w:gridSpan w:val="8"/>
            <w:vAlign w:val="center"/>
          </w:tcPr>
          <w:p>
            <w:pPr>
              <w:shd w:val="clear" w:fill="FFFFFF" w:themeFill="background1"/>
              <w:spacing w:line="360" w:lineRule="auto"/>
              <w:ind w:firstLine="420" w:firstLineChars="200"/>
              <w:rPr>
                <w:rFonts w:hint="eastAsia" w:ascii="宋体" w:hAnsi="宋体" w:eastAsia="宋体" w:cs="宋体"/>
                <w:color w:val="auto"/>
                <w:highlight w:val="none"/>
              </w:rPr>
            </w:pPr>
          </w:p>
        </w:tc>
      </w:tr>
    </w:tbl>
    <w:p>
      <w:pPr>
        <w:shd w:val="clear" w:fill="FFFFFF" w:themeFill="background1"/>
        <w:spacing w:line="440" w:lineRule="exact"/>
        <w:ind w:right="480"/>
        <w:rPr>
          <w:rFonts w:hint="eastAsia" w:ascii="宋体" w:hAnsi="宋体" w:eastAsia="宋体" w:cs="宋体"/>
          <w:color w:val="auto"/>
          <w:sz w:val="24"/>
          <w:highlight w:val="none"/>
        </w:rPr>
      </w:pPr>
      <w:r>
        <w:rPr>
          <w:rFonts w:hint="eastAsia" w:ascii="宋体" w:hAnsi="宋体" w:eastAsia="宋体" w:cs="宋体"/>
          <w:color w:val="auto"/>
          <w:sz w:val="24"/>
          <w:highlight w:val="none"/>
        </w:rPr>
        <w:t>表后附：投标人营业执照 、资质证书副本、安全生产许可证复印件加盖公章。</w:t>
      </w:r>
    </w:p>
    <w:p>
      <w:pPr>
        <w:shd w:val="clear" w:fill="FFFFFF" w:themeFill="background1"/>
        <w:spacing w:line="440" w:lineRule="exact"/>
        <w:ind w:right="48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hd w:val="clear" w:fill="FFFFFF" w:themeFill="background1"/>
        <w:jc w:val="center"/>
        <w:outlineLvl w:val="0"/>
        <w:rPr>
          <w:rFonts w:hint="eastAsia" w:ascii="宋体" w:hAnsi="宋体" w:eastAsia="宋体" w:cs="宋体"/>
          <w:b/>
          <w:color w:val="auto"/>
          <w:sz w:val="32"/>
          <w:szCs w:val="32"/>
          <w:highlight w:val="none"/>
        </w:rPr>
        <w:sectPr>
          <w:footerReference r:id="rId8" w:type="first"/>
          <w:footerReference r:id="rId7" w:type="default"/>
          <w:pgSz w:w="11906" w:h="16838"/>
          <w:pgMar w:top="1418" w:right="1134" w:bottom="1134" w:left="1361" w:header="851" w:footer="851" w:gutter="0"/>
          <w:pgBorders>
            <w:top w:val="none" w:sz="0" w:space="0"/>
            <w:left w:val="none" w:sz="0" w:space="0"/>
            <w:bottom w:val="none" w:sz="0" w:space="0"/>
            <w:right w:val="none" w:sz="0" w:space="0"/>
          </w:pgBorders>
          <w:pgNumType w:fmt="decimal" w:chapStyle="1"/>
          <w:cols w:space="720" w:num="1"/>
          <w:titlePg/>
          <w:docGrid w:type="lines" w:linePitch="312" w:charSpace="0"/>
        </w:sectPr>
      </w:pPr>
      <w:r>
        <w:rPr>
          <w:rFonts w:hint="eastAsia" w:ascii="宋体" w:hAnsi="宋体" w:eastAsia="宋体" w:cs="宋体"/>
          <w:b/>
          <w:color w:val="auto"/>
          <w:sz w:val="32"/>
          <w:szCs w:val="32"/>
          <w:highlight w:val="none"/>
        </w:rPr>
        <w:t>（2）投标人业绩证明材料</w:t>
      </w:r>
    </w:p>
    <w:p>
      <w:pPr>
        <w:shd w:val="clear" w:fill="FFFFFF" w:themeFill="background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2.9投标人须知前附表规定的其它材料。</w:t>
      </w:r>
    </w:p>
    <w:p>
      <w:pPr>
        <w:shd w:val="clear" w:fill="FFFFFF" w:themeFill="background1"/>
        <w:ind w:firstLine="482" w:firstLineChars="200"/>
        <w:rPr>
          <w:rFonts w:hint="eastAsia" w:ascii="宋体" w:hAnsi="宋体" w:eastAsia="宋体" w:cs="宋体"/>
          <w:b/>
          <w:bCs/>
          <w:color w:val="auto"/>
          <w:sz w:val="24"/>
          <w:szCs w:val="24"/>
          <w:highlight w:val="none"/>
        </w:rPr>
      </w:pPr>
    </w:p>
    <w:p>
      <w:pPr>
        <w:shd w:val="clear" w:fill="FFFFFF" w:themeFill="background1"/>
        <w:ind w:firstLine="480" w:firstLineChars="200"/>
        <w:rPr>
          <w:rFonts w:hint="eastAsia" w:ascii="宋体" w:hAnsi="宋体" w:eastAsia="宋体" w:cs="宋体"/>
          <w:color w:val="auto"/>
          <w:sz w:val="24"/>
          <w:szCs w:val="24"/>
          <w:highlight w:val="none"/>
        </w:rPr>
      </w:pPr>
    </w:p>
    <w:p>
      <w:pPr>
        <w:shd w:val="clear" w:fill="FFFFFF" w:themeFill="background1"/>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投标人根据本项目情况需要提供的其他材料。</w:t>
      </w:r>
    </w:p>
    <w:p>
      <w:pPr>
        <w:shd w:val="clear" w:fill="FFFFFF" w:themeFill="background1"/>
        <w:rPr>
          <w:rFonts w:hint="eastAsia" w:ascii="宋体" w:hAnsi="宋体" w:eastAsia="宋体" w:cs="宋体"/>
          <w:color w:val="auto"/>
          <w:sz w:val="24"/>
          <w:highlight w:val="none"/>
        </w:rPr>
      </w:pPr>
    </w:p>
    <w:p>
      <w:pPr>
        <w:shd w:val="clear" w:fill="FFFFFF" w:themeFill="background1"/>
        <w:rPr>
          <w:rFonts w:hint="eastAsia" w:ascii="宋体" w:hAnsi="宋体" w:eastAsia="宋体" w:cs="宋体"/>
          <w:color w:val="auto"/>
          <w:sz w:val="24"/>
          <w:highlight w:val="none"/>
        </w:rPr>
      </w:pPr>
    </w:p>
    <w:p>
      <w:pPr>
        <w:shd w:val="clear" w:fill="FFFFFF" w:themeFill="background1"/>
        <w:rPr>
          <w:rFonts w:hint="eastAsia" w:ascii="宋体" w:hAnsi="宋体" w:eastAsia="宋体" w:cs="宋体"/>
          <w:color w:val="auto"/>
          <w:sz w:val="24"/>
          <w:highlight w:val="none"/>
        </w:rPr>
      </w:pPr>
    </w:p>
    <w:p>
      <w:pPr>
        <w:shd w:val="clear" w:fill="FFFFFF" w:themeFill="background1"/>
        <w:rPr>
          <w:rFonts w:hint="eastAsia" w:ascii="宋体" w:hAnsi="宋体" w:eastAsia="宋体" w:cs="宋体"/>
          <w:color w:val="auto"/>
          <w:sz w:val="24"/>
          <w:highlight w:val="none"/>
        </w:rPr>
      </w:pPr>
    </w:p>
    <w:p>
      <w:pPr>
        <w:shd w:val="clear" w:fill="FFFFFF" w:themeFill="background1"/>
        <w:rPr>
          <w:rFonts w:hint="eastAsia" w:ascii="宋体" w:hAnsi="宋体" w:eastAsia="宋体" w:cs="宋体"/>
          <w:color w:val="auto"/>
          <w:sz w:val="24"/>
          <w:highlight w:val="none"/>
        </w:rPr>
      </w:pPr>
    </w:p>
    <w:p>
      <w:pPr>
        <w:shd w:val="clear" w:fill="FFFFFF" w:themeFill="background1"/>
        <w:rPr>
          <w:rFonts w:hint="eastAsia" w:ascii="宋体" w:hAnsi="宋体" w:eastAsia="宋体" w:cs="宋体"/>
          <w:color w:val="auto"/>
          <w:sz w:val="24"/>
          <w:highlight w:val="none"/>
        </w:rPr>
      </w:pPr>
    </w:p>
    <w:p>
      <w:pPr>
        <w:shd w:val="clear" w:fill="FFFFFF" w:themeFill="background1"/>
        <w:rPr>
          <w:rFonts w:hint="eastAsia" w:ascii="宋体" w:hAnsi="宋体" w:eastAsia="宋体" w:cs="宋体"/>
          <w:color w:val="auto"/>
          <w:highlight w:val="none"/>
        </w:rPr>
      </w:pPr>
      <w:r>
        <w:rPr>
          <w:rFonts w:hint="eastAsia" w:ascii="宋体" w:hAnsi="宋体" w:eastAsia="宋体" w:cs="宋体"/>
          <w:color w:val="auto"/>
          <w:highlight w:val="none"/>
        </w:rPr>
        <w:br w:type="page"/>
      </w:r>
    </w:p>
    <w:p>
      <w:pPr>
        <w:widowControl/>
        <w:shd w:val="clear" w:fill="FFFFFF" w:themeFill="background1"/>
        <w:adjustRightInd w:val="0"/>
        <w:snapToGrid w:val="0"/>
        <w:spacing w:line="360" w:lineRule="auto"/>
        <w:jc w:val="center"/>
        <w:rPr>
          <w:rFonts w:hint="eastAsia" w:ascii="宋体" w:hAnsi="宋体" w:eastAsia="宋体" w:cs="宋体"/>
          <w:b/>
          <w:bCs/>
          <w:color w:val="auto"/>
          <w:kern w:val="36"/>
          <w:sz w:val="30"/>
          <w:szCs w:val="30"/>
          <w:highlight w:val="none"/>
        </w:rPr>
      </w:pPr>
      <w:bookmarkStart w:id="468" w:name="_Toc22621"/>
      <w:bookmarkStart w:id="469" w:name="_Toc19005_WPSOffice_Level1"/>
      <w:bookmarkStart w:id="470" w:name="_Toc31779"/>
      <w:r>
        <w:rPr>
          <w:rFonts w:hint="eastAsia" w:ascii="宋体" w:hAnsi="宋体" w:eastAsia="宋体" w:cs="宋体"/>
          <w:b/>
          <w:bCs/>
          <w:color w:val="auto"/>
          <w:kern w:val="36"/>
          <w:sz w:val="30"/>
          <w:szCs w:val="30"/>
          <w:highlight w:val="none"/>
        </w:rPr>
        <w:t>招标人、阜阳市政府采购中心及政府采购技术合作单位意见</w:t>
      </w:r>
      <w:bookmarkEnd w:id="468"/>
      <w:bookmarkEnd w:id="469"/>
      <w:bookmarkEnd w:id="470"/>
    </w:p>
    <w:tbl>
      <w:tblPr>
        <w:tblStyle w:val="31"/>
        <w:tblW w:w="8414" w:type="dxa"/>
        <w:tblInd w:w="108" w:type="dxa"/>
        <w:tblLayout w:type="fixed"/>
        <w:tblCellMar>
          <w:top w:w="0" w:type="dxa"/>
          <w:left w:w="0" w:type="dxa"/>
          <w:bottom w:w="0" w:type="dxa"/>
          <w:right w:w="0" w:type="dxa"/>
        </w:tblCellMar>
      </w:tblPr>
      <w:tblGrid>
        <w:gridCol w:w="8414"/>
      </w:tblGrid>
      <w:tr>
        <w:tblPrEx>
          <w:tblLayout w:type="fixed"/>
          <w:tblCellMar>
            <w:top w:w="0" w:type="dxa"/>
            <w:left w:w="0" w:type="dxa"/>
            <w:bottom w:w="0" w:type="dxa"/>
            <w:right w:w="0" w:type="dxa"/>
          </w:tblCellMar>
        </w:tblPrEx>
        <w:trPr>
          <w:trHeight w:val="5637" w:hRule="atLeast"/>
        </w:trPr>
        <w:tc>
          <w:tcPr>
            <w:tcW w:w="84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hd w:val="clear" w:fill="FFFFFF" w:themeFill="background1"/>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8"/>
                <w:szCs w:val="28"/>
                <w:highlight w:val="none"/>
              </w:rPr>
              <w:t> 本次招标项目的招标文件，我们确认。我单位联系电话、联系人详见本项目招标文件。</w:t>
            </w:r>
          </w:p>
          <w:p>
            <w:pPr>
              <w:widowControl/>
              <w:shd w:val="clear" w:fill="FFFFFF" w:themeFill="background1"/>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8"/>
                <w:szCs w:val="28"/>
                <w:highlight w:val="none"/>
              </w:rPr>
              <w:t>招标人： 阜阳师范学院</w:t>
            </w:r>
          </w:p>
          <w:p>
            <w:pPr>
              <w:widowControl/>
              <w:shd w:val="clear" w:fill="FFFFFF" w:themeFill="background1"/>
              <w:adjustRightInd w:val="0"/>
              <w:snapToGrid w:val="0"/>
              <w:spacing w:line="360" w:lineRule="auto"/>
              <w:ind w:right="5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8"/>
                <w:szCs w:val="28"/>
                <w:highlight w:val="none"/>
              </w:rPr>
              <w:t>联系人：郭老师</w:t>
            </w:r>
          </w:p>
          <w:p>
            <w:pPr>
              <w:widowControl/>
              <w:shd w:val="clear" w:fill="FFFFFF" w:themeFill="background1"/>
              <w:adjustRightInd w:val="0"/>
              <w:snapToGrid w:val="0"/>
              <w:spacing w:line="360" w:lineRule="auto"/>
              <w:ind w:right="56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8"/>
                <w:szCs w:val="28"/>
                <w:highlight w:val="none"/>
              </w:rPr>
              <w:t>电 </w:t>
            </w:r>
            <w:r>
              <w:rPr>
                <w:rFonts w:hint="eastAsia" w:ascii="宋体" w:hAnsi="宋体" w:eastAsia="宋体" w:cs="宋体"/>
                <w:color w:val="auto"/>
                <w:kern w:val="0"/>
                <w:sz w:val="28"/>
                <w:highlight w:val="none"/>
              </w:rPr>
              <w:t> </w:t>
            </w:r>
            <w:r>
              <w:rPr>
                <w:rFonts w:hint="eastAsia" w:ascii="宋体" w:hAnsi="宋体" w:eastAsia="宋体" w:cs="宋体"/>
                <w:color w:val="auto"/>
                <w:kern w:val="0"/>
                <w:sz w:val="28"/>
                <w:szCs w:val="28"/>
                <w:highlight w:val="none"/>
              </w:rPr>
              <w:t>话：0558-2591037      </w:t>
            </w:r>
          </w:p>
          <w:p>
            <w:pPr>
              <w:widowControl/>
              <w:shd w:val="clear" w:fill="FFFFFF" w:themeFill="background1"/>
              <w:adjustRightInd w:val="0"/>
              <w:snapToGrid w:val="0"/>
              <w:spacing w:line="360" w:lineRule="auto"/>
              <w:ind w:right="560"/>
              <w:jc w:val="right"/>
              <w:rPr>
                <w:rFonts w:hint="eastAsia" w:ascii="宋体" w:hAnsi="宋体" w:eastAsia="宋体" w:cs="宋体"/>
                <w:color w:val="auto"/>
                <w:kern w:val="0"/>
                <w:sz w:val="28"/>
                <w:szCs w:val="28"/>
                <w:highlight w:val="none"/>
              </w:rPr>
            </w:pPr>
          </w:p>
          <w:p>
            <w:pPr>
              <w:widowControl/>
              <w:shd w:val="clear" w:fill="FFFFFF" w:themeFill="background1"/>
              <w:adjustRightInd w:val="0"/>
              <w:snapToGrid w:val="0"/>
              <w:spacing w:line="360" w:lineRule="auto"/>
              <w:ind w:right="560"/>
              <w:jc w:val="right"/>
              <w:rPr>
                <w:rFonts w:hint="eastAsia" w:ascii="宋体" w:hAnsi="宋体" w:eastAsia="宋体" w:cs="宋体"/>
                <w:color w:val="auto"/>
                <w:kern w:val="0"/>
                <w:sz w:val="28"/>
                <w:szCs w:val="28"/>
                <w:highlight w:val="none"/>
              </w:rPr>
            </w:pPr>
          </w:p>
          <w:p>
            <w:pPr>
              <w:widowControl/>
              <w:shd w:val="clear" w:fill="FFFFFF" w:themeFill="background1"/>
              <w:adjustRightInd w:val="0"/>
              <w:snapToGrid w:val="0"/>
              <w:spacing w:line="360" w:lineRule="auto"/>
              <w:ind w:right="560"/>
              <w:jc w:val="right"/>
              <w:rPr>
                <w:rFonts w:hint="eastAsia" w:ascii="宋体" w:hAnsi="宋体" w:eastAsia="宋体" w:cs="宋体"/>
                <w:color w:val="auto"/>
                <w:kern w:val="0"/>
                <w:sz w:val="28"/>
                <w:szCs w:val="28"/>
                <w:highlight w:val="none"/>
              </w:rPr>
            </w:pPr>
          </w:p>
          <w:p>
            <w:pPr>
              <w:widowControl/>
              <w:shd w:val="clear" w:fill="FFFFFF" w:themeFill="background1"/>
              <w:adjustRightInd w:val="0"/>
              <w:snapToGrid w:val="0"/>
              <w:spacing w:line="360" w:lineRule="auto"/>
              <w:ind w:right="560"/>
              <w:jc w:val="right"/>
              <w:rPr>
                <w:rFonts w:hint="eastAsia" w:ascii="宋体" w:hAnsi="宋体" w:eastAsia="宋体" w:cs="宋体"/>
                <w:color w:val="auto"/>
                <w:kern w:val="0"/>
                <w:sz w:val="28"/>
                <w:szCs w:val="28"/>
                <w:highlight w:val="none"/>
              </w:rPr>
            </w:pPr>
          </w:p>
          <w:p>
            <w:pPr>
              <w:widowControl/>
              <w:shd w:val="clear" w:fill="FFFFFF" w:themeFill="background1"/>
              <w:adjustRightInd w:val="0"/>
              <w:snapToGrid w:val="0"/>
              <w:spacing w:line="360" w:lineRule="auto"/>
              <w:ind w:right="56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8"/>
                <w:szCs w:val="28"/>
                <w:highlight w:val="none"/>
              </w:rPr>
              <w:t>（单位盖章）   </w:t>
            </w:r>
          </w:p>
          <w:p>
            <w:pPr>
              <w:widowControl/>
              <w:shd w:val="clear" w:fill="FFFFFF" w:themeFill="background1"/>
              <w:adjustRightInd w:val="0"/>
              <w:snapToGrid w:val="0"/>
              <w:spacing w:line="360" w:lineRule="auto"/>
              <w:ind w:right="56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8"/>
                <w:szCs w:val="28"/>
                <w:highlight w:val="none"/>
              </w:rPr>
              <w:t>     </w:t>
            </w:r>
            <w:r>
              <w:rPr>
                <w:rFonts w:hint="eastAsia" w:ascii="宋体" w:hAnsi="宋体" w:eastAsia="宋体" w:cs="宋体"/>
                <w:color w:val="auto"/>
                <w:kern w:val="0"/>
                <w:sz w:val="28"/>
                <w:highlight w:val="none"/>
              </w:rPr>
              <w:t> </w:t>
            </w:r>
            <w:r>
              <w:rPr>
                <w:rFonts w:hint="eastAsia" w:ascii="宋体" w:hAnsi="宋体" w:eastAsia="宋体" w:cs="宋体"/>
                <w:color w:val="auto"/>
                <w:kern w:val="0"/>
                <w:sz w:val="28"/>
                <w:szCs w:val="28"/>
                <w:highlight w:val="none"/>
              </w:rPr>
              <w:t>2018年</w:t>
            </w:r>
            <w:r>
              <w:rPr>
                <w:rFonts w:hint="eastAsia" w:ascii="宋体" w:hAnsi="宋体" w:eastAsia="宋体" w:cs="宋体"/>
                <w:color w:val="auto"/>
                <w:kern w:val="0"/>
                <w:sz w:val="28"/>
                <w:szCs w:val="28"/>
                <w:highlight w:val="none"/>
                <w:lang w:val="en-US" w:eastAsia="zh-CN"/>
              </w:rPr>
              <w:t>6</w:t>
            </w:r>
            <w:r>
              <w:rPr>
                <w:rFonts w:hint="eastAsia" w:ascii="宋体" w:hAnsi="宋体" w:eastAsia="宋体" w:cs="宋体"/>
                <w:color w:val="auto"/>
                <w:kern w:val="0"/>
                <w:sz w:val="28"/>
                <w:szCs w:val="28"/>
                <w:highlight w:val="none"/>
              </w:rPr>
              <w:t>月</w:t>
            </w:r>
          </w:p>
        </w:tc>
      </w:tr>
      <w:tr>
        <w:tblPrEx>
          <w:tblLayout w:type="fixed"/>
          <w:tblCellMar>
            <w:top w:w="0" w:type="dxa"/>
            <w:left w:w="0" w:type="dxa"/>
            <w:bottom w:w="0" w:type="dxa"/>
            <w:right w:w="0" w:type="dxa"/>
          </w:tblCellMar>
        </w:tblPrEx>
        <w:trPr>
          <w:trHeight w:val="6070" w:hRule="atLeast"/>
        </w:trPr>
        <w:tc>
          <w:tcPr>
            <w:tcW w:w="84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hd w:val="clear" w:fill="FFFFFF" w:themeFill="background1"/>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8"/>
                <w:szCs w:val="28"/>
                <w:highlight w:val="none"/>
              </w:rPr>
              <w:t>阜阳市政府采购中心及政府采购技术合作单位</w:t>
            </w:r>
          </w:p>
          <w:p>
            <w:pPr>
              <w:widowControl/>
              <w:shd w:val="clear" w:fill="FFFFFF" w:themeFill="background1"/>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8"/>
                <w:szCs w:val="28"/>
                <w:highlight w:val="none"/>
              </w:rPr>
              <w:t>安徽新天源建设咨询有限公司</w:t>
            </w:r>
          </w:p>
          <w:p>
            <w:pPr>
              <w:widowControl/>
              <w:shd w:val="clear" w:fill="FFFFFF" w:themeFill="background1"/>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8"/>
                <w:szCs w:val="28"/>
                <w:highlight w:val="none"/>
              </w:rPr>
              <w:t>联 系 人：李成兰、谢睿馨</w:t>
            </w:r>
          </w:p>
          <w:p>
            <w:pPr>
              <w:widowControl/>
              <w:shd w:val="clear" w:fill="FFFFFF" w:themeFill="background1"/>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8"/>
                <w:szCs w:val="28"/>
                <w:highlight w:val="none"/>
              </w:rPr>
              <w:t>电   </w:t>
            </w:r>
            <w:r>
              <w:rPr>
                <w:rFonts w:hint="eastAsia" w:ascii="宋体" w:hAnsi="宋体" w:eastAsia="宋体" w:cs="宋体"/>
                <w:color w:val="auto"/>
                <w:kern w:val="0"/>
                <w:sz w:val="28"/>
                <w:highlight w:val="none"/>
              </w:rPr>
              <w:t> </w:t>
            </w:r>
            <w:r>
              <w:rPr>
                <w:rFonts w:hint="eastAsia" w:ascii="宋体" w:hAnsi="宋体" w:eastAsia="宋体" w:cs="宋体"/>
                <w:color w:val="auto"/>
                <w:kern w:val="0"/>
                <w:sz w:val="28"/>
                <w:szCs w:val="28"/>
                <w:highlight w:val="none"/>
              </w:rPr>
              <w:t>话：0558-2177133、13365580175</w:t>
            </w:r>
          </w:p>
          <w:p>
            <w:pPr>
              <w:widowControl/>
              <w:shd w:val="clear" w:fill="FFFFFF" w:themeFill="background1"/>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8"/>
                <w:szCs w:val="28"/>
                <w:highlight w:val="none"/>
              </w:rPr>
              <w:t> </w:t>
            </w:r>
          </w:p>
          <w:p>
            <w:pPr>
              <w:widowControl/>
              <w:shd w:val="clear" w:fill="FFFFFF" w:themeFill="background1"/>
              <w:adjustRightInd w:val="0"/>
              <w:snapToGrid w:val="0"/>
              <w:spacing w:line="360" w:lineRule="auto"/>
              <w:ind w:firstLine="56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8"/>
                <w:szCs w:val="28"/>
                <w:highlight w:val="none"/>
              </w:rPr>
              <w:t> （单位盖章）  </w:t>
            </w:r>
          </w:p>
          <w:p>
            <w:pPr>
              <w:widowControl/>
              <w:shd w:val="clear" w:fill="FFFFFF" w:themeFill="background1"/>
              <w:adjustRightInd w:val="0"/>
              <w:snapToGrid w:val="0"/>
              <w:spacing w:line="360" w:lineRule="auto"/>
              <w:ind w:right="42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8"/>
                <w:szCs w:val="28"/>
                <w:highlight w:val="none"/>
              </w:rPr>
              <w:t>2018年</w:t>
            </w:r>
            <w:r>
              <w:rPr>
                <w:rFonts w:hint="eastAsia" w:ascii="宋体" w:hAnsi="宋体" w:eastAsia="宋体" w:cs="宋体"/>
                <w:color w:val="auto"/>
                <w:kern w:val="0"/>
                <w:sz w:val="28"/>
                <w:szCs w:val="28"/>
                <w:highlight w:val="none"/>
                <w:lang w:val="en-US" w:eastAsia="zh-CN"/>
              </w:rPr>
              <w:t>6</w:t>
            </w:r>
            <w:r>
              <w:rPr>
                <w:rFonts w:hint="eastAsia" w:ascii="宋体" w:hAnsi="宋体" w:eastAsia="宋体" w:cs="宋体"/>
                <w:color w:val="auto"/>
                <w:kern w:val="0"/>
                <w:sz w:val="28"/>
                <w:szCs w:val="28"/>
                <w:highlight w:val="none"/>
              </w:rPr>
              <w:t>月</w:t>
            </w:r>
          </w:p>
        </w:tc>
      </w:tr>
    </w:tbl>
    <w:p>
      <w:pPr>
        <w:pStyle w:val="2"/>
        <w:shd w:val="clear" w:fill="FFFFFF" w:themeFill="background1"/>
        <w:rPr>
          <w:rFonts w:hint="eastAsia" w:ascii="宋体" w:hAnsi="宋体" w:eastAsia="宋体" w:cs="宋体"/>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8"/>
    <w:family w:val="roman"/>
    <w:pitch w:val="default"/>
    <w:sig w:usb0="00000003" w:usb1="080E0000" w:usb2="00000000" w:usb3="00000000" w:csb0="00040001" w:csb1="00000000"/>
  </w:font>
  <w:font w:name="Wingdings">
    <w:altName w:val="UniversalMath1 BT"/>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UniversalMath1 BT"/>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onospace">
    <w:altName w:val="RomanS"/>
    <w:panose1 w:val="00000000000000000000"/>
    <w:charset w:val="00"/>
    <w:family w:val="auto"/>
    <w:pitch w:val="default"/>
    <w:sig w:usb0="00000000" w:usb1="00000000" w:usb2="00000000" w:usb3="00000000" w:csb0="00040001" w:csb1="00000000"/>
  </w:font>
  <w:font w:name="仿宋_GB2312">
    <w:altName w:val="宋体"/>
    <w:panose1 w:val="02010609030101010101"/>
    <w:charset w:val="86"/>
    <w:family w:val="modern"/>
    <w:pitch w:val="default"/>
    <w:sig w:usb0="00000000" w:usb1="00000000" w:usb2="00000010" w:usb3="00000000" w:csb0="00040000" w:csb1="00000000"/>
  </w:font>
  <w:font w:name="UniversalMath1 BT">
    <w:panose1 w:val="05050102010205020602"/>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5"/>
        <w:tab w:val="left" w:pos="4762"/>
      </w:tabs>
      <w:rPr>
        <w:rFonts w:hint="eastAsia" w:eastAsia="宋体"/>
        <w:lang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57</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127"/>
        <w:tab w:val="clear" w:pos="4153"/>
      </w:tabs>
      <w:rPr>
        <w:rFonts w:hint="eastAsia" w:eastAsia="宋体"/>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05"/>
        <w:tab w:val="left" w:pos="5357"/>
      </w:tabs>
      <w:rPr>
        <w:rFonts w:hint="eastAsia" w:eastAsia="宋体"/>
        <w:lang w:eastAsia="zh-CN"/>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57</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127"/>
        <w:tab w:val="clear" w:pos="4153"/>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t xml:space="preserve">第 </w:t>
                          </w:r>
                          <w:r>
                            <w:rPr>
                              <w:rFonts w:hint="eastAsia"/>
                              <w:lang w:val="en-US" w:eastAsia="zh-CN"/>
                            </w:rPr>
                            <w:t>3</w:t>
                          </w:r>
                          <w:r>
                            <w:rPr>
                              <w:rFonts w:hint="eastAsia"/>
                              <w:lang w:eastAsia="zh-CN"/>
                            </w:rPr>
                            <w:t xml:space="preserve">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val="en-US" w:eastAsia="zh-CN"/>
                      </w:rPr>
                      <w:t>3</w:t>
                    </w:r>
                    <w:r>
                      <w:rPr>
                        <w:rFonts w:hint="eastAsia"/>
                        <w:lang w:eastAsia="zh-CN"/>
                      </w:rPr>
                      <w:t xml:space="preserve">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57</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21B7C"/>
    <w:multiLevelType w:val="singleLevel"/>
    <w:tmpl w:val="55121B7C"/>
    <w:lvl w:ilvl="0" w:tentative="0">
      <w:start w:val="1"/>
      <w:numFmt w:val="decimal"/>
      <w:suff w:val="nothing"/>
      <w:lvlText w:val="（%1）"/>
      <w:lvlJc w:val="left"/>
      <w:pPr>
        <w:tabs>
          <w:tab w:val="left" w:pos="0"/>
        </w:tabs>
        <w:ind w:left="0" w:firstLine="0"/>
      </w:pPr>
      <w:rPr>
        <w:rFonts w:cs="Times New Roman"/>
      </w:rPr>
    </w:lvl>
  </w:abstractNum>
  <w:abstractNum w:abstractNumId="1">
    <w:nsid w:val="56D54178"/>
    <w:multiLevelType w:val="singleLevel"/>
    <w:tmpl w:val="56D54178"/>
    <w:lvl w:ilvl="0" w:tentative="0">
      <w:start w:val="1"/>
      <w:numFmt w:val="decimal"/>
      <w:suff w:val="nothing"/>
      <w:lvlText w:val="（%1）"/>
      <w:lvlJc w:val="left"/>
      <w:pPr>
        <w:tabs>
          <w:tab w:val="left" w:pos="0"/>
        </w:tabs>
        <w:ind w:left="0" w:firstLine="0"/>
      </w:pPr>
      <w:rPr>
        <w:rFonts w:cs="Times New Roman"/>
      </w:rPr>
    </w:lvl>
  </w:abstractNum>
  <w:abstractNum w:abstractNumId="2">
    <w:nsid w:val="57B41C4E"/>
    <w:multiLevelType w:val="singleLevel"/>
    <w:tmpl w:val="57B41C4E"/>
    <w:lvl w:ilvl="0" w:tentative="0">
      <w:start w:val="2"/>
      <w:numFmt w:val="decimal"/>
      <w:suff w:val="nothing"/>
      <w:lvlText w:val="%1、"/>
      <w:lvlJc w:val="left"/>
      <w:pPr>
        <w:tabs>
          <w:tab w:val="left" w:pos="0"/>
        </w:tabs>
        <w:ind w:left="0" w:firstLine="0"/>
      </w:pPr>
      <w:rPr>
        <w:rFonts w:cs="Times New Roman"/>
      </w:rPr>
    </w:lvl>
  </w:abstractNum>
  <w:abstractNum w:abstractNumId="3">
    <w:nsid w:val="57F9A76E"/>
    <w:multiLevelType w:val="singleLevel"/>
    <w:tmpl w:val="57F9A76E"/>
    <w:lvl w:ilvl="0" w:tentative="0">
      <w:start w:val="7"/>
      <w:numFmt w:val="decimal"/>
      <w:suff w:val="space"/>
      <w:lvlText w:val="%1."/>
      <w:lvlJc w:val="left"/>
      <w:pPr>
        <w:tabs>
          <w:tab w:val="left" w:pos="630"/>
        </w:tabs>
        <w:ind w:left="0" w:firstLine="0"/>
      </w:pPr>
      <w:rPr>
        <w:rFonts w:cs="Times New Roman"/>
      </w:rPr>
    </w:lvl>
  </w:abstractNum>
  <w:abstractNum w:abstractNumId="4">
    <w:nsid w:val="58DB6771"/>
    <w:multiLevelType w:val="singleLevel"/>
    <w:tmpl w:val="58DB6771"/>
    <w:lvl w:ilvl="0" w:tentative="0">
      <w:start w:val="1"/>
      <w:numFmt w:val="lowerLetter"/>
      <w:suff w:val="nothing"/>
      <w:lvlText w:val="%1."/>
      <w:lvlJc w:val="left"/>
      <w:pPr>
        <w:tabs>
          <w:tab w:val="left" w:pos="0"/>
        </w:tabs>
        <w:ind w:left="0" w:firstLine="0"/>
      </w:pPr>
      <w:rPr>
        <w:rFonts w:cs="Times New Roman"/>
      </w:rPr>
    </w:lvl>
  </w:abstractNum>
  <w:num w:numId="1">
    <w:abstractNumId w:val="0"/>
  </w:num>
  <w:num w:numId="2">
    <w:abstractNumId w:val="3"/>
  </w:num>
  <w:num w:numId="3">
    <w:abstractNumId w:val="1"/>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D53BF3"/>
    <w:rsid w:val="00017E8C"/>
    <w:rsid w:val="000414C7"/>
    <w:rsid w:val="00055D82"/>
    <w:rsid w:val="00093935"/>
    <w:rsid w:val="00095E04"/>
    <w:rsid w:val="000A08BA"/>
    <w:rsid w:val="000B41EC"/>
    <w:rsid w:val="000B77CB"/>
    <w:rsid w:val="000D0E96"/>
    <w:rsid w:val="00104A90"/>
    <w:rsid w:val="00114C3F"/>
    <w:rsid w:val="0012294A"/>
    <w:rsid w:val="00133AE6"/>
    <w:rsid w:val="00167E39"/>
    <w:rsid w:val="00182423"/>
    <w:rsid w:val="00192CFD"/>
    <w:rsid w:val="0019732B"/>
    <w:rsid w:val="001A33A1"/>
    <w:rsid w:val="001C61F8"/>
    <w:rsid w:val="001D73FA"/>
    <w:rsid w:val="00232529"/>
    <w:rsid w:val="00250EAA"/>
    <w:rsid w:val="00253FFD"/>
    <w:rsid w:val="0025448B"/>
    <w:rsid w:val="002563E7"/>
    <w:rsid w:val="002809E1"/>
    <w:rsid w:val="002860AF"/>
    <w:rsid w:val="002906A5"/>
    <w:rsid w:val="00293273"/>
    <w:rsid w:val="002B5163"/>
    <w:rsid w:val="002C79D3"/>
    <w:rsid w:val="002E1DFF"/>
    <w:rsid w:val="002F1BAF"/>
    <w:rsid w:val="002F6C57"/>
    <w:rsid w:val="002F6C5A"/>
    <w:rsid w:val="0030341C"/>
    <w:rsid w:val="00321557"/>
    <w:rsid w:val="00337B15"/>
    <w:rsid w:val="00373920"/>
    <w:rsid w:val="00391FDD"/>
    <w:rsid w:val="00395B7C"/>
    <w:rsid w:val="00396F82"/>
    <w:rsid w:val="003A0BC7"/>
    <w:rsid w:val="003A1532"/>
    <w:rsid w:val="003F040B"/>
    <w:rsid w:val="003F18F2"/>
    <w:rsid w:val="00403017"/>
    <w:rsid w:val="00403ACB"/>
    <w:rsid w:val="004228BD"/>
    <w:rsid w:val="00442AF7"/>
    <w:rsid w:val="00446BBF"/>
    <w:rsid w:val="00462929"/>
    <w:rsid w:val="0047788A"/>
    <w:rsid w:val="00492AC8"/>
    <w:rsid w:val="004F0DFD"/>
    <w:rsid w:val="00520FA8"/>
    <w:rsid w:val="00541EDC"/>
    <w:rsid w:val="0055075B"/>
    <w:rsid w:val="005607A3"/>
    <w:rsid w:val="005626C3"/>
    <w:rsid w:val="0056310F"/>
    <w:rsid w:val="005641C1"/>
    <w:rsid w:val="0056713C"/>
    <w:rsid w:val="00572175"/>
    <w:rsid w:val="00577443"/>
    <w:rsid w:val="00584952"/>
    <w:rsid w:val="0059686B"/>
    <w:rsid w:val="005B4F0B"/>
    <w:rsid w:val="005F07CC"/>
    <w:rsid w:val="006003A3"/>
    <w:rsid w:val="00601750"/>
    <w:rsid w:val="00601A77"/>
    <w:rsid w:val="00620581"/>
    <w:rsid w:val="00635B2C"/>
    <w:rsid w:val="006468DD"/>
    <w:rsid w:val="00663AC1"/>
    <w:rsid w:val="006770B2"/>
    <w:rsid w:val="00684ABA"/>
    <w:rsid w:val="0069179C"/>
    <w:rsid w:val="006B4559"/>
    <w:rsid w:val="006C4E3A"/>
    <w:rsid w:val="006C5388"/>
    <w:rsid w:val="006C76C2"/>
    <w:rsid w:val="006F1016"/>
    <w:rsid w:val="006F4B8D"/>
    <w:rsid w:val="00712990"/>
    <w:rsid w:val="007157C6"/>
    <w:rsid w:val="00717322"/>
    <w:rsid w:val="007178B4"/>
    <w:rsid w:val="00732F0C"/>
    <w:rsid w:val="00742EC5"/>
    <w:rsid w:val="0076314E"/>
    <w:rsid w:val="00763362"/>
    <w:rsid w:val="00771973"/>
    <w:rsid w:val="0079766A"/>
    <w:rsid w:val="007A68A4"/>
    <w:rsid w:val="007D08FF"/>
    <w:rsid w:val="007D63D2"/>
    <w:rsid w:val="007E2DDD"/>
    <w:rsid w:val="007F354D"/>
    <w:rsid w:val="007F362F"/>
    <w:rsid w:val="008160AB"/>
    <w:rsid w:val="00822FF7"/>
    <w:rsid w:val="00824FF1"/>
    <w:rsid w:val="00830B7C"/>
    <w:rsid w:val="008335CF"/>
    <w:rsid w:val="00833B4F"/>
    <w:rsid w:val="0089145D"/>
    <w:rsid w:val="008A7686"/>
    <w:rsid w:val="008B7A87"/>
    <w:rsid w:val="008D2533"/>
    <w:rsid w:val="008D3750"/>
    <w:rsid w:val="008D3EBC"/>
    <w:rsid w:val="008F5C0B"/>
    <w:rsid w:val="008F76EB"/>
    <w:rsid w:val="0090343E"/>
    <w:rsid w:val="00907F66"/>
    <w:rsid w:val="0091103A"/>
    <w:rsid w:val="0091131A"/>
    <w:rsid w:val="00923425"/>
    <w:rsid w:val="00926861"/>
    <w:rsid w:val="00930276"/>
    <w:rsid w:val="00940F48"/>
    <w:rsid w:val="009451A0"/>
    <w:rsid w:val="00953242"/>
    <w:rsid w:val="00961F04"/>
    <w:rsid w:val="00972912"/>
    <w:rsid w:val="009C30A3"/>
    <w:rsid w:val="009D2C9C"/>
    <w:rsid w:val="009E27B4"/>
    <w:rsid w:val="00A47072"/>
    <w:rsid w:val="00A74EEE"/>
    <w:rsid w:val="00A82203"/>
    <w:rsid w:val="00A9388E"/>
    <w:rsid w:val="00A94178"/>
    <w:rsid w:val="00AA0324"/>
    <w:rsid w:val="00AA054C"/>
    <w:rsid w:val="00AA4474"/>
    <w:rsid w:val="00AA7539"/>
    <w:rsid w:val="00AB2AE2"/>
    <w:rsid w:val="00AD3680"/>
    <w:rsid w:val="00AE0CC3"/>
    <w:rsid w:val="00AE2F63"/>
    <w:rsid w:val="00AF4C0F"/>
    <w:rsid w:val="00B1424B"/>
    <w:rsid w:val="00B62AD3"/>
    <w:rsid w:val="00B67E95"/>
    <w:rsid w:val="00B7594A"/>
    <w:rsid w:val="00B76C82"/>
    <w:rsid w:val="00B803AB"/>
    <w:rsid w:val="00B81860"/>
    <w:rsid w:val="00B82022"/>
    <w:rsid w:val="00B925A4"/>
    <w:rsid w:val="00B9656F"/>
    <w:rsid w:val="00BA2167"/>
    <w:rsid w:val="00C02083"/>
    <w:rsid w:val="00C05A5E"/>
    <w:rsid w:val="00C36008"/>
    <w:rsid w:val="00C51B7B"/>
    <w:rsid w:val="00C6163D"/>
    <w:rsid w:val="00C67B29"/>
    <w:rsid w:val="00C74D21"/>
    <w:rsid w:val="00C75744"/>
    <w:rsid w:val="00C80F41"/>
    <w:rsid w:val="00CA75FB"/>
    <w:rsid w:val="00CB64E1"/>
    <w:rsid w:val="00CD0C39"/>
    <w:rsid w:val="00CD2CCD"/>
    <w:rsid w:val="00CD3FE6"/>
    <w:rsid w:val="00CD5C25"/>
    <w:rsid w:val="00CE3C9F"/>
    <w:rsid w:val="00CF4115"/>
    <w:rsid w:val="00D05CBE"/>
    <w:rsid w:val="00D235D3"/>
    <w:rsid w:val="00D34CEC"/>
    <w:rsid w:val="00D403D4"/>
    <w:rsid w:val="00D4689F"/>
    <w:rsid w:val="00D541D3"/>
    <w:rsid w:val="00D66F9E"/>
    <w:rsid w:val="00D81FFF"/>
    <w:rsid w:val="00D9423A"/>
    <w:rsid w:val="00DA2137"/>
    <w:rsid w:val="00DD5670"/>
    <w:rsid w:val="00E13701"/>
    <w:rsid w:val="00E36215"/>
    <w:rsid w:val="00E47BA5"/>
    <w:rsid w:val="00E7082F"/>
    <w:rsid w:val="00E905D8"/>
    <w:rsid w:val="00EA3D52"/>
    <w:rsid w:val="00EB04BC"/>
    <w:rsid w:val="00EC5D99"/>
    <w:rsid w:val="00ED21AA"/>
    <w:rsid w:val="00ED30E0"/>
    <w:rsid w:val="00EE4244"/>
    <w:rsid w:val="00EF49AF"/>
    <w:rsid w:val="00F0480E"/>
    <w:rsid w:val="00F07F64"/>
    <w:rsid w:val="00F100CC"/>
    <w:rsid w:val="00F13A37"/>
    <w:rsid w:val="00F22FF3"/>
    <w:rsid w:val="00F4557F"/>
    <w:rsid w:val="00F52EC2"/>
    <w:rsid w:val="00F57B56"/>
    <w:rsid w:val="00F73264"/>
    <w:rsid w:val="00F73FE9"/>
    <w:rsid w:val="00F809E7"/>
    <w:rsid w:val="00F80CF3"/>
    <w:rsid w:val="00F9631D"/>
    <w:rsid w:val="00FA343F"/>
    <w:rsid w:val="00FA53CE"/>
    <w:rsid w:val="00FF22B5"/>
    <w:rsid w:val="03115AFC"/>
    <w:rsid w:val="04AB70F7"/>
    <w:rsid w:val="062B3349"/>
    <w:rsid w:val="0A990AA0"/>
    <w:rsid w:val="0C813599"/>
    <w:rsid w:val="0D245570"/>
    <w:rsid w:val="0D24618A"/>
    <w:rsid w:val="0D995DDC"/>
    <w:rsid w:val="0E3222A5"/>
    <w:rsid w:val="14D67E3A"/>
    <w:rsid w:val="166B16C2"/>
    <w:rsid w:val="16D53BF3"/>
    <w:rsid w:val="19E153EE"/>
    <w:rsid w:val="1C582501"/>
    <w:rsid w:val="1D6F5A40"/>
    <w:rsid w:val="242C3106"/>
    <w:rsid w:val="25D66944"/>
    <w:rsid w:val="27454CEF"/>
    <w:rsid w:val="2B5904FE"/>
    <w:rsid w:val="2D053C76"/>
    <w:rsid w:val="2D9B3AFE"/>
    <w:rsid w:val="2DD93EDF"/>
    <w:rsid w:val="2E3B4559"/>
    <w:rsid w:val="3140247F"/>
    <w:rsid w:val="31DD5875"/>
    <w:rsid w:val="32153FF5"/>
    <w:rsid w:val="32CF7B77"/>
    <w:rsid w:val="34BE5933"/>
    <w:rsid w:val="35FA0F9D"/>
    <w:rsid w:val="36D52D74"/>
    <w:rsid w:val="38DC46A0"/>
    <w:rsid w:val="3A652C90"/>
    <w:rsid w:val="3DAA4BBE"/>
    <w:rsid w:val="408E0167"/>
    <w:rsid w:val="42845626"/>
    <w:rsid w:val="42992699"/>
    <w:rsid w:val="4413549B"/>
    <w:rsid w:val="451A4036"/>
    <w:rsid w:val="45604681"/>
    <w:rsid w:val="46270CB4"/>
    <w:rsid w:val="4B162D48"/>
    <w:rsid w:val="4D836D46"/>
    <w:rsid w:val="4EAD025C"/>
    <w:rsid w:val="52AD6DCF"/>
    <w:rsid w:val="52BB2719"/>
    <w:rsid w:val="52C34075"/>
    <w:rsid w:val="53C37B45"/>
    <w:rsid w:val="54D33F4D"/>
    <w:rsid w:val="56257725"/>
    <w:rsid w:val="567A6FD1"/>
    <w:rsid w:val="56F77667"/>
    <w:rsid w:val="57685EFE"/>
    <w:rsid w:val="59F82EBC"/>
    <w:rsid w:val="5D1F4166"/>
    <w:rsid w:val="5E021200"/>
    <w:rsid w:val="5F1C5E14"/>
    <w:rsid w:val="5F4748C5"/>
    <w:rsid w:val="63E2577D"/>
    <w:rsid w:val="65F51E06"/>
    <w:rsid w:val="6B36536A"/>
    <w:rsid w:val="6C0C17CB"/>
    <w:rsid w:val="6ECF38BF"/>
    <w:rsid w:val="7004046D"/>
    <w:rsid w:val="70163DCF"/>
    <w:rsid w:val="71D47DC7"/>
    <w:rsid w:val="72EF628E"/>
    <w:rsid w:val="73590EA6"/>
    <w:rsid w:val="75546A21"/>
    <w:rsid w:val="767B32A3"/>
    <w:rsid w:val="7C9F676D"/>
    <w:rsid w:val="7D8A50ED"/>
    <w:rsid w:val="7EE24D1C"/>
    <w:rsid w:val="7FC12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32"/>
    <w:qFormat/>
    <w:uiPriority w:val="0"/>
    <w:pPr>
      <w:keepNext/>
      <w:keepLines/>
      <w:spacing w:before="340" w:after="330" w:line="576" w:lineRule="auto"/>
      <w:outlineLvl w:val="0"/>
    </w:pPr>
    <w:rPr>
      <w:b/>
      <w:bCs/>
      <w:kern w:val="44"/>
      <w:sz w:val="44"/>
      <w:szCs w:val="44"/>
    </w:rPr>
  </w:style>
  <w:style w:type="paragraph" w:styleId="6">
    <w:name w:val="heading 2"/>
    <w:basedOn w:val="1"/>
    <w:next w:val="1"/>
    <w:semiHidden/>
    <w:unhideWhenUsed/>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3"/>
    <w:basedOn w:val="1"/>
    <w:next w:val="1"/>
    <w:semiHidden/>
    <w:unhideWhenUsed/>
    <w:qFormat/>
    <w:uiPriority w:val="0"/>
    <w:pPr>
      <w:keepNext/>
      <w:keepLines/>
      <w:spacing w:before="260" w:after="260" w:line="415" w:lineRule="auto"/>
      <w:outlineLvl w:val="2"/>
    </w:pPr>
    <w:rPr>
      <w:b/>
      <w:bCs/>
      <w:sz w:val="32"/>
      <w:szCs w:val="32"/>
    </w:rPr>
  </w:style>
  <w:style w:type="character" w:default="1" w:styleId="16">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100" w:afterAutospacing="1"/>
    </w:pPr>
  </w:style>
  <w:style w:type="paragraph" w:styleId="3">
    <w:name w:val="Body Text Indent"/>
    <w:basedOn w:val="1"/>
    <w:next w:val="4"/>
    <w:qFormat/>
    <w:uiPriority w:val="0"/>
    <w:pPr>
      <w:widowControl/>
      <w:spacing w:after="120"/>
      <w:ind w:left="420" w:leftChars="200"/>
      <w:jc w:val="left"/>
    </w:pPr>
    <w:rPr>
      <w:rFonts w:ascii="宋体" w:hAnsi="宋体" w:cs="宋体"/>
      <w:kern w:val="0"/>
      <w:sz w:val="24"/>
      <w:szCs w:val="24"/>
    </w:rPr>
  </w:style>
  <w:style w:type="paragraph" w:styleId="4">
    <w:name w:val="envelope return"/>
    <w:basedOn w:val="1"/>
    <w:qFormat/>
    <w:uiPriority w:val="0"/>
    <w:pPr>
      <w:snapToGrid w:val="0"/>
    </w:pPr>
    <w:rPr>
      <w:rFonts w:ascii="Arial" w:hAnsi="Arial"/>
    </w:rPr>
  </w:style>
  <w:style w:type="paragraph" w:styleId="8">
    <w:name w:val="Normal Indent"/>
    <w:basedOn w:val="1"/>
    <w:qFormat/>
    <w:uiPriority w:val="0"/>
    <w:pPr>
      <w:ind w:firstLine="200" w:firstLineChars="200"/>
    </w:pPr>
  </w:style>
  <w:style w:type="paragraph" w:styleId="9">
    <w:name w:val="annotation text"/>
    <w:basedOn w:val="1"/>
    <w:qFormat/>
    <w:uiPriority w:val="0"/>
    <w:pPr>
      <w:jc w:val="left"/>
    </w:pPr>
  </w:style>
  <w:style w:type="paragraph" w:styleId="10">
    <w:name w:val="toc 8"/>
    <w:basedOn w:val="1"/>
    <w:next w:val="1"/>
    <w:qFormat/>
    <w:uiPriority w:val="0"/>
    <w:pPr>
      <w:ind w:left="2940"/>
    </w:pPr>
  </w:style>
  <w:style w:type="paragraph" w:styleId="11">
    <w:name w:val="Balloon Text"/>
    <w:basedOn w:val="1"/>
    <w:link w:val="4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296"/>
      </w:tabs>
      <w:jc w:val="center"/>
    </w:pPr>
  </w:style>
  <w:style w:type="paragraph" w:styleId="15">
    <w:name w:val="Normal (Web)"/>
    <w:basedOn w:val="1"/>
    <w:next w:val="1"/>
    <w:qFormat/>
    <w:uiPriority w:val="0"/>
    <w:pPr>
      <w:spacing w:before="100" w:beforeAutospacing="1" w:after="75"/>
      <w:jc w:val="left"/>
    </w:pPr>
    <w:rPr>
      <w:kern w:val="0"/>
      <w:sz w:val="24"/>
      <w:szCs w:val="24"/>
    </w:rPr>
  </w:style>
  <w:style w:type="character" w:styleId="17">
    <w:name w:val="Strong"/>
    <w:basedOn w:val="16"/>
    <w:qFormat/>
    <w:uiPriority w:val="22"/>
  </w:style>
  <w:style w:type="character" w:styleId="18">
    <w:name w:val="page number"/>
    <w:basedOn w:val="16"/>
    <w:qFormat/>
    <w:uiPriority w:val="0"/>
    <w:rPr>
      <w:rFonts w:cs="Times New Roman"/>
      <w:lang w:bidi="ar-SA"/>
    </w:rPr>
  </w:style>
  <w:style w:type="character" w:styleId="19">
    <w:name w:val="FollowedHyperlink"/>
    <w:basedOn w:val="16"/>
    <w:qFormat/>
    <w:uiPriority w:val="0"/>
    <w:rPr>
      <w:color w:val="800080"/>
      <w:u w:val="none"/>
    </w:rPr>
  </w:style>
  <w:style w:type="character" w:styleId="20">
    <w:name w:val="Emphasis"/>
    <w:basedOn w:val="16"/>
    <w:qFormat/>
    <w:uiPriority w:val="0"/>
  </w:style>
  <w:style w:type="character" w:styleId="21">
    <w:name w:val="HTML Definition"/>
    <w:basedOn w:val="16"/>
    <w:qFormat/>
    <w:uiPriority w:val="0"/>
  </w:style>
  <w:style w:type="character" w:styleId="22">
    <w:name w:val="HTML Typewriter"/>
    <w:basedOn w:val="16"/>
    <w:qFormat/>
    <w:uiPriority w:val="0"/>
    <w:rPr>
      <w:rFonts w:hint="default" w:ascii="monospace" w:hAnsi="monospace" w:eastAsia="monospace" w:cs="monospace"/>
      <w:sz w:val="20"/>
    </w:rPr>
  </w:style>
  <w:style w:type="character" w:styleId="23">
    <w:name w:val="HTML Acronym"/>
    <w:basedOn w:val="16"/>
    <w:qFormat/>
    <w:uiPriority w:val="0"/>
  </w:style>
  <w:style w:type="character" w:styleId="24">
    <w:name w:val="HTML Variable"/>
    <w:basedOn w:val="16"/>
    <w:qFormat/>
    <w:uiPriority w:val="0"/>
  </w:style>
  <w:style w:type="character" w:styleId="25">
    <w:name w:val="Hyperlink"/>
    <w:basedOn w:val="16"/>
    <w:qFormat/>
    <w:uiPriority w:val="0"/>
    <w:rPr>
      <w:rFonts w:cs="Times New Roman"/>
      <w:color w:val="0000FF"/>
      <w:u w:val="single"/>
      <w:lang w:bidi="ar-SA"/>
    </w:rPr>
  </w:style>
  <w:style w:type="character" w:styleId="26">
    <w:name w:val="HTML Code"/>
    <w:basedOn w:val="16"/>
    <w:qFormat/>
    <w:uiPriority w:val="0"/>
    <w:rPr>
      <w:rFonts w:hint="default" w:ascii="monospace" w:hAnsi="monospace" w:eastAsia="monospace" w:cs="monospace"/>
      <w:sz w:val="20"/>
    </w:rPr>
  </w:style>
  <w:style w:type="character" w:styleId="27">
    <w:name w:val="annotation reference"/>
    <w:basedOn w:val="16"/>
    <w:qFormat/>
    <w:uiPriority w:val="0"/>
    <w:rPr>
      <w:sz w:val="21"/>
      <w:szCs w:val="21"/>
    </w:rPr>
  </w:style>
  <w:style w:type="character" w:styleId="28">
    <w:name w:val="HTML Cite"/>
    <w:basedOn w:val="16"/>
    <w:qFormat/>
    <w:uiPriority w:val="0"/>
  </w:style>
  <w:style w:type="character" w:styleId="29">
    <w:name w:val="HTML Keyboard"/>
    <w:basedOn w:val="16"/>
    <w:qFormat/>
    <w:uiPriority w:val="0"/>
    <w:rPr>
      <w:rFonts w:ascii="monospace" w:hAnsi="monospace" w:eastAsia="monospace" w:cs="monospace"/>
      <w:sz w:val="20"/>
    </w:rPr>
  </w:style>
  <w:style w:type="character" w:styleId="30">
    <w:name w:val="HTML Sample"/>
    <w:basedOn w:val="16"/>
    <w:qFormat/>
    <w:uiPriority w:val="0"/>
    <w:rPr>
      <w:rFonts w:hint="default" w:ascii="monospace" w:hAnsi="monospace" w:eastAsia="monospace" w:cs="monospace"/>
    </w:rPr>
  </w:style>
  <w:style w:type="character" w:customStyle="1" w:styleId="32">
    <w:name w:val="标题 1 Char"/>
    <w:basedOn w:val="16"/>
    <w:link w:val="5"/>
    <w:qFormat/>
    <w:uiPriority w:val="0"/>
    <w:rPr>
      <w:b/>
      <w:bCs/>
      <w:kern w:val="44"/>
      <w:sz w:val="44"/>
      <w:szCs w:val="44"/>
    </w:rPr>
  </w:style>
  <w:style w:type="paragraph" w:customStyle="1" w:styleId="33">
    <w:name w:val="样式 标题 2 + Times New Roman 四号 非加粗 段前: 5 磅 段后: 0 磅 行距: 固定值 20..."/>
    <w:basedOn w:val="6"/>
    <w:qFormat/>
    <w:uiPriority w:val="0"/>
    <w:pPr>
      <w:spacing w:before="100" w:after="0" w:line="400" w:lineRule="exact"/>
    </w:pPr>
    <w:rPr>
      <w:rFonts w:ascii="Times New Roman" w:hAnsi="Times New Roman" w:cs="Times New Roman"/>
      <w:b w:val="0"/>
      <w:bCs w:val="0"/>
      <w:sz w:val="28"/>
      <w:szCs w:val="28"/>
    </w:rPr>
  </w:style>
  <w:style w:type="paragraph" w:customStyle="1" w:styleId="34">
    <w:name w:val="样式 标题 3 + (中文) 黑体 小四 非加粗 段前: 7.8 磅 段后: 0 磅 行距: 固定值 20 磅"/>
    <w:basedOn w:val="7"/>
    <w:qFormat/>
    <w:uiPriority w:val="0"/>
    <w:pPr>
      <w:spacing w:before="0" w:after="0" w:line="400" w:lineRule="exact"/>
    </w:pPr>
    <w:rPr>
      <w:rFonts w:eastAsia="黑体"/>
      <w:b w:val="0"/>
      <w:bCs w:val="0"/>
      <w:sz w:val="24"/>
      <w:szCs w:val="24"/>
    </w:rPr>
  </w:style>
  <w:style w:type="paragraph" w:customStyle="1" w:styleId="35">
    <w:name w:val="p0"/>
    <w:basedOn w:val="1"/>
    <w:next w:val="10"/>
    <w:qFormat/>
    <w:uiPriority w:val="0"/>
    <w:pPr>
      <w:widowControl/>
    </w:pPr>
    <w:rPr>
      <w:kern w:val="0"/>
    </w:rPr>
  </w:style>
  <w:style w:type="paragraph" w:customStyle="1" w:styleId="36">
    <w:name w:val="纯文本1"/>
    <w:basedOn w:val="1"/>
    <w:qFormat/>
    <w:uiPriority w:val="0"/>
    <w:rPr>
      <w:rFonts w:ascii="Courier New" w:hAnsi="Courier New" w:cs="Courier New"/>
      <w:sz w:val="20"/>
      <w:szCs w:val="20"/>
    </w:rPr>
  </w:style>
  <w:style w:type="paragraph" w:customStyle="1" w:styleId="37">
    <w:name w:val="p15"/>
    <w:basedOn w:val="1"/>
    <w:qFormat/>
    <w:uiPriority w:val="0"/>
    <w:pPr>
      <w:widowControl/>
    </w:pPr>
    <w:rPr>
      <w:kern w:val="0"/>
    </w:rPr>
  </w:style>
  <w:style w:type="paragraph" w:customStyle="1" w:styleId="38">
    <w:name w:val="Salutation1"/>
    <w:basedOn w:val="1"/>
    <w:next w:val="1"/>
    <w:qFormat/>
    <w:uiPriority w:val="0"/>
    <w:rPr>
      <w:rFonts w:ascii="仿宋_GB2312" w:eastAsia="仿宋_GB2312" w:cs="仿宋_GB2312"/>
      <w:sz w:val="20"/>
      <w:szCs w:val="20"/>
    </w:rPr>
  </w:style>
  <w:style w:type="paragraph" w:customStyle="1" w:styleId="39">
    <w:name w:val="style1"/>
    <w:basedOn w:val="1"/>
    <w:qFormat/>
    <w:uiPriority w:val="0"/>
    <w:pPr>
      <w:widowControl/>
      <w:jc w:val="left"/>
    </w:pPr>
    <w:rPr>
      <w:rFonts w:ascii="宋体" w:hAnsi="宋体"/>
      <w:kern w:val="0"/>
      <w:sz w:val="36"/>
      <w:szCs w:val="36"/>
    </w:rPr>
  </w:style>
  <w:style w:type="paragraph" w:customStyle="1" w:styleId="40">
    <w:name w:val="style2"/>
    <w:basedOn w:val="1"/>
    <w:uiPriority w:val="0"/>
    <w:pPr>
      <w:widowControl/>
      <w:jc w:val="left"/>
    </w:pPr>
    <w:rPr>
      <w:rFonts w:ascii="宋体" w:hAnsi="宋体"/>
      <w:color w:val="FF0000"/>
      <w:kern w:val="0"/>
      <w:sz w:val="36"/>
      <w:szCs w:val="36"/>
    </w:rPr>
  </w:style>
  <w:style w:type="character" w:customStyle="1" w:styleId="41">
    <w:name w:val="批注框文本 Char"/>
    <w:basedOn w:val="16"/>
    <w:link w:val="11"/>
    <w:qFormat/>
    <w:uiPriority w:val="0"/>
    <w:rPr>
      <w:kern w:val="2"/>
      <w:sz w:val="18"/>
      <w:szCs w:val="18"/>
    </w:rPr>
  </w:style>
  <w:style w:type="paragraph" w:customStyle="1" w:styleId="4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1.xml"/>
  <Relationship Id="rId11" Type="http://schemas.openxmlformats.org/officeDocument/2006/relationships/numbering" Target="numbering.xml"/>
  <Relationship Id="rId12" Type="http://schemas.openxmlformats.org/officeDocument/2006/relationships/fontTable" Target="fontTable.xml"/>
  <Relationship Id="rId13" Type="http://schemas.microsoft.com/office/2011/relationships/people" Target="people.xml"/>
  <Relationship Id="rId14" Type="http://schemas.openxmlformats.org/officeDocument/2006/relationships/glossaryDocument" Target="glossary/document.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b706528-9749-403e-bdad-cbc24890abda}"/>
        <w:style w:val=""/>
        <w:category>
          <w:name w:val="常规"/>
          <w:gallery w:val="placeholder"/>
        </w:category>
        <w:types>
          <w:type w:val="bbPlcHdr"/>
        </w:types>
        <w:behaviors>
          <w:behavior w:val="content"/>
        </w:behaviors>
        <w:description w:val=""/>
        <w:guid w:val="{5b706528-9749-403e-bdad-cbc24890abda}"/>
      </w:docPartPr>
      <w:docPartBody>
        <w:p>
          <w:r>
            <w:rPr>
              <w:color w:val="808080"/>
            </w:rPr>
            <w:t>单击此处输入文字。</w:t>
          </w:r>
        </w:p>
      </w:docPartBody>
    </w:docPart>
    <w:docPart>
      <w:docPartPr>
        <w:name w:val="{d5b20172-ecb3-4256-890a-b0b00974155e}"/>
        <w:style w:val=""/>
        <w:category>
          <w:name w:val="常规"/>
          <w:gallery w:val="placeholder"/>
        </w:category>
        <w:types>
          <w:type w:val="bbPlcHdr"/>
        </w:types>
        <w:behaviors>
          <w:behavior w:val="content"/>
        </w:behaviors>
        <w:description w:val=""/>
        <w:guid w:val="{d5b20172-ecb3-4256-890a-b0b00974155e}"/>
      </w:docPartPr>
      <w:docPartBody>
        <w:p>
          <w:r>
            <w:rPr>
              <w:color w:val="808080"/>
            </w:rPr>
            <w:t>单击此处输入文字。</w:t>
          </w:r>
        </w:p>
      </w:docPartBody>
    </w:docPart>
    <w:docPart>
      <w:docPartPr>
        <w:name w:val="{02dcabf0-cb0e-4240-bb05-5bf283df5f64}"/>
        <w:style w:val=""/>
        <w:category>
          <w:name w:val="常规"/>
          <w:gallery w:val="placeholder"/>
        </w:category>
        <w:types>
          <w:type w:val="bbPlcHdr"/>
        </w:types>
        <w:behaviors>
          <w:behavior w:val="content"/>
        </w:behaviors>
        <w:description w:val=""/>
        <w:guid w:val="{02dcabf0-cb0e-4240-bb05-5bf283df5f64}"/>
      </w:docPartPr>
      <w:docPartBody>
        <w:p>
          <w:r>
            <w:rPr>
              <w:color w:val="808080"/>
            </w:rPr>
            <w:t>单击此处输入文字。</w:t>
          </w:r>
        </w:p>
      </w:docPartBody>
    </w:docPart>
    <w:docPart>
      <w:docPartPr>
        <w:name w:val="{b45b1b4b-2ab2-4da2-a8e0-6258179a8a2e}"/>
        <w:style w:val=""/>
        <w:category>
          <w:name w:val="常规"/>
          <w:gallery w:val="placeholder"/>
        </w:category>
        <w:types>
          <w:type w:val="bbPlcHdr"/>
        </w:types>
        <w:behaviors>
          <w:behavior w:val="content"/>
        </w:behaviors>
        <w:description w:val=""/>
        <w:guid w:val="{b45b1b4b-2ab2-4da2-a8e0-6258179a8a2e}"/>
      </w:docPartPr>
      <w:docPartBody>
        <w:p>
          <w:r>
            <w:rPr>
              <w:color w:val="808080"/>
            </w:rPr>
            <w:t>单击此处输入文字。</w:t>
          </w:r>
        </w:p>
      </w:docPartBody>
    </w:docPart>
    <w:docPart>
      <w:docPartPr>
        <w:name w:val="{47fa8ec4-ef0e-45f5-a155-ae8b9bf83f55}"/>
        <w:style w:val=""/>
        <w:category>
          <w:name w:val="常规"/>
          <w:gallery w:val="placeholder"/>
        </w:category>
        <w:types>
          <w:type w:val="bbPlcHdr"/>
        </w:types>
        <w:behaviors>
          <w:behavior w:val="content"/>
        </w:behaviors>
        <w:description w:val=""/>
        <w:guid w:val="{47fa8ec4-ef0e-45f5-a155-ae8b9bf83f55}"/>
      </w:docPartPr>
      <w:docPartBody>
        <w:p>
          <w:r>
            <w:rPr>
              <w:color w:val="808080"/>
            </w:rPr>
            <w:t>单击此处输入文字。</w:t>
          </w:r>
        </w:p>
      </w:docPartBody>
    </w:docPart>
    <w:docPart>
      <w:docPartPr>
        <w:name w:val="{50e3eb8b-3c71-479f-b812-41d01cf94085}"/>
        <w:style w:val=""/>
        <w:category>
          <w:name w:val="常规"/>
          <w:gallery w:val="placeholder"/>
        </w:category>
        <w:types>
          <w:type w:val="bbPlcHdr"/>
        </w:types>
        <w:behaviors>
          <w:behavior w:val="content"/>
        </w:behaviors>
        <w:description w:val=""/>
        <w:guid w:val="{50e3eb8b-3c71-479f-b812-41d01cf94085}"/>
      </w:docPartPr>
      <w:docPartBody>
        <w:p>
          <w:r>
            <w:rPr>
              <w:color w:val="808080"/>
            </w:rPr>
            <w:t>单击此处输入文字。</w:t>
          </w:r>
        </w:p>
      </w:docPartBody>
    </w:docPart>
    <w:docPart>
      <w:docPartPr>
        <w:name w:val="{df67ae32-e24e-4892-a23e-06c3a7e10f1e}"/>
        <w:style w:val=""/>
        <w:category>
          <w:name w:val="常规"/>
          <w:gallery w:val="placeholder"/>
        </w:category>
        <w:types>
          <w:type w:val="bbPlcHdr"/>
        </w:types>
        <w:behaviors>
          <w:behavior w:val="content"/>
        </w:behaviors>
        <w:description w:val=""/>
        <w:guid w:val="{df67ae32-e24e-4892-a23e-06c3a7e10f1e}"/>
      </w:docPartPr>
      <w:docPartBody>
        <w:p>
          <w:r>
            <w:rPr>
              <w:color w:val="808080"/>
            </w:rPr>
            <w:t>单击此处输入文字。</w:t>
          </w:r>
        </w:p>
      </w:docPartBody>
    </w:docPart>
    <w:docPart>
      <w:docPartPr>
        <w:name w:val="{038203ab-bad9-4492-ba0e-b566443963dd}"/>
        <w:style w:val=""/>
        <w:category>
          <w:name w:val="常规"/>
          <w:gallery w:val="placeholder"/>
        </w:category>
        <w:types>
          <w:type w:val="bbPlcHdr"/>
        </w:types>
        <w:behaviors>
          <w:behavior w:val="content"/>
        </w:behaviors>
        <w:description w:val=""/>
        <w:guid w:val="{038203ab-bad9-4492-ba0e-b566443963dd}"/>
      </w:docPartPr>
      <w:docPartBody>
        <w:p>
          <w:r>
            <w:rPr>
              <w:color w:val="808080"/>
            </w:rPr>
            <w:t>单击此处输入文字。</w:t>
          </w:r>
        </w:p>
      </w:docPartBody>
    </w:docPart>
    <w:docPart>
      <w:docPartPr>
        <w:name w:val="{6fa55990-db32-436c-8d75-2492272c1307}"/>
        <w:style w:val=""/>
        <w:category>
          <w:name w:val="常规"/>
          <w:gallery w:val="placeholder"/>
        </w:category>
        <w:types>
          <w:type w:val="bbPlcHdr"/>
        </w:types>
        <w:behaviors>
          <w:behavior w:val="content"/>
        </w:behaviors>
        <w:description w:val=""/>
        <w:guid w:val="{6fa55990-db32-436c-8d75-2492272c130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UniversalMath1 BT"/>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UniversalMath1 BT"/>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UniversalMath1 BT">
    <w:panose1 w:val="05050102010205020602"/>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5073</Words>
  <Characters>28920</Characters>
  <Lines>241</Lines>
  <Paragraphs>67</Paragraphs>
  <TotalTime>4</TotalTime>
  <ScaleCrop>false</ScaleCrop>
  <LinksUpToDate>false</LinksUpToDate>
  <CharactersWithSpaces>33926</CharactersWithSpaces>
  <Application>WPS Office_10.1.0.7400_F1E327BC-269C-435d-A152-05C5408002CA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2018-01-20T03:11:00Z</dcterms:created>
  <dc:creator>Administrator</dc:creator>
  <lastModifiedBy>Administrator</lastModifiedBy>
  <lastPrinted>2018-01-20T03:11:00Z</lastPrinted>
  <dcterms:modified xsi:type="dcterms:W3CDTF">2018-06-06T07:57:58Z</dcterms:modified>
  <revision>203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