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2060"/>
          <w:spacing w:val="0"/>
          <w:sz w:val="32"/>
          <w:szCs w:val="32"/>
          <w:shd w:val="clear" w:fill="FFFFFF"/>
        </w:rPr>
      </w:pPr>
      <w:bookmarkStart w:id="0" w:name="_GoBack"/>
      <w:r>
        <w:rPr>
          <w:rFonts w:hint="eastAsia" w:ascii="宋体" w:hAnsi="宋体" w:eastAsia="宋体" w:cs="宋体"/>
          <w:b/>
          <w:bCs/>
          <w:i w:val="0"/>
          <w:iCs w:val="0"/>
          <w:caps w:val="0"/>
          <w:color w:val="000000"/>
          <w:spacing w:val="0"/>
          <w:sz w:val="32"/>
          <w:szCs w:val="32"/>
          <w:shd w:val="clear" w:fill="FFFFFF"/>
        </w:rPr>
        <w:t>中华人民共和国专利法(2020年修正)</w:t>
      </w:r>
    </w:p>
    <w:bookmarkEnd w:id="0"/>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2060"/>
          <w:spacing w:val="0"/>
          <w:sz w:val="24"/>
          <w:szCs w:val="24"/>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目　　录</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第一章　总　　则</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第二章　授予专利权的条件</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第三章　专利的申请</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第四章　专利申请的审查和批准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第五章　专利权的期限、终止和无效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第六章　专利实施的特别许可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第七章　专利权的保护</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第八章　附　　则</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第一章　总　　则</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第一条　为了保护专利权人的合法权益，鼓励发明创造，推动发明创造的应用，提高创新能力，促进科学技术进步和经济社会发展，制定本法。</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第二条　本法所称的发明创造是指发明、实用新型和外观设计。</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发明，是指对产品、方法或者其改进所提出的新的技术方案。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实用新型，是指对产品的形状、构造或者其结合所提出的适于实用的新的技术方案。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外观设计，是指对产品的整体或者局部的形状、图案或者其结合以及色彩与形状、图案的结合所作出的富有美感并适于工业应用的新设计。</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第三条　国务院专利行政部门负责管理全国的专利工作；统一受理和审查专利申请，依法授予专利权。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省、自治区、直辖市人民政府管理专利工作的部门负责本行政区域内的专利管理工作。</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第四条　申请专利的发明创造涉及国家安全或者重大利益需要保密的，按照国家有关规定办理。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第五条　对违反法律、社会公德或者妨害公共利益的发明创造，不授予专利权。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对违反法律、行政法规的规定获取或者利用遗传资源，并依赖该遗传资源完成的发明创造，不授予专利权。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非职务发明创造，申请专利的权利属于发明人或者设计人；申请被批准后，该发明人或者设计人为专利权人。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利用本单位的物质技术条件所完成的发明创造，单位与发明人或者设计人订有合同，对申请专利的权利和专利权的归属作出约定的，从其约定。</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第七条　对发明人或者设计人的非职务发明创造专利申请，任何单位或者个人不得压制。</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两个以上的申请人分别就同样的发明创造申请专利的，专利权授予最先申请的人。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第十条　专利申请权和专利权可以转让。</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中国单位或者个人向外国人、外国企业或者外国其他组织转让专利申请权或者专利权的，应当依照有关法律、行政法规的规定办理手续。</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外观设计专利权被授予后，任何单位或者个人未经专利权人许可，都不得实施其专利，即不得为生产经营目的制造、许诺销售、销售、进口其外观设计专利产品。</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第十二条　任何单位或者个人实施他人专利的，应当与专利权人订立实施许可合同，向专利权人支付专利使用费。被许可人无权允许合同规定以外的任何单位或者个人实施该专利。</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第十三条　发明专利申请公布后，申请人可以要求实施其发明的单位或者个人支付适当的费用。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除前款规定的情形外，行使共有的专利申请权或者专利权应当取得全体共有人的同意。</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国家鼓励被授予专利权的单位实行产权激励，采取股权、期权、分红等方式，使发明人或者设计人合理分享创新收益。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第十六条　发明人或者设计人有权在专利文件中写明自己是发明人或者设计人。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专利权人有权在其专利产品或者该产品的包装上标明专利标识。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第十八条　在中国没有经常居所或者营业所的外国人、外国企业或者外国其他组织在中国申请专利和办理其他专利事务的，应当委托依法设立的专利代理机构办理。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中国单位或者个人在国内申请专利和办理其他专利事务的，可以委托依法设立的专利代理机构办理。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第十九条　任何单位或者个人将在中国完成的发明或者实用新型向外国申请专利的，应当事先报经国务院专利行政部门进行保密审查。保密审查的程序、期限等按照国务院的规定执行。</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中国单位或者个人可以根据中华人民共和国参加的有关国际条约提出专利国际申请。申请人提出专利国际申请的，应当遵守前款规定。</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国务院专利行政部门依照中华人民共和国参加的有关国际条约、本法和国务院有关规定处理专利国际申请。</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对违反本条第一款规定向外国申请专利的发明或者实用新型，在中国申请专利的，不授予专利权。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第二十条　申请专利和行使专利权应当遵循诚实信用原则。不得滥用专利权损害公共利益或者他人合法权益。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滥用专利权，排除或者限制竞争，构成垄断行为的，依照《中华人民共和国反垄断法》处理。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第二十一条　国务院专利行政部门应当按照客观、公正、准确、及时的要求，依法处理有关专利的申请和请求。</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国务院专利行政部门应当加强专利信息公共服务体系建设，完整、准确、及时发布专利信息，提供专利基础数据，定期出版专利公报，促进专利信息传播与利用。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在专利申请公布或者公告前，国务院专利行政部门的工作人员及有关人员对其内容负有保密责任。</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第二章　授予专利权的条件</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第二十二条　授予专利权的发明和实用新型，应当具备新颖性、创造性和实用性。</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创造性，是指与现有技术相比，该发明具有突出的实质性特点和显著的进步，该实用新型具有实质性特点和进步。</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实用性，是指该发明或者实用新型能够制造或者使用，并且能够产生积极效果。</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本法所称现有技术，是指申请日以前在国内外为公众所知的技术。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授予专利权的外观设计与现有设计或者现有设计特征的组合相比，应当具有明显区别。</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授予专利权的外观设计不得与他人在申请日以前已经取得的合法权利相冲突。</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本法所称现有设计，是指申请日以前在国内外为公众所知的设计。</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第二十四条　申请专利的发明创造在申请日以前六个月内，有下列情形之一的，不丧失新颖性：</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（一）在国家出现紧急状态或者非常情况时，为公共利益目的首次公开的；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（二）在中国政府主办或者承认的国际展览会上首次展出的；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（三）在规定的学术会议或者技术会议上首次发表的；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（四）他人未经申请人同意而泄露其内容的。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第二十五条　对下列各项，不授予专利权：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（一）科学发现；</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（二）智力活动的规则和方法；</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（三）疾病的诊断和治疗方法；</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（四）动物和植物品种；</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（五）原子核变换方法以及用原子核变换方法获得的物质；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（六）对平面印刷品的图案、色彩或者二者的结合作出的主要起标识作用的设计。</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对前款第（四）项所列产品的生产方法，可以依照本法规定授予专利权。</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第三章　专利的申请</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第二十六条　申请发明或者实用新型专利的，应当提交请求书、说明书及其摘要和权利要求书等文件。</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请求书应当写明发明或者实用新型的名称，发明人的姓名，申请人姓名或者名称、地址，以及其他事项。</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权利要求书应当以说明书为依据，清楚、简要地限定要求专利保护的范围。</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依赖遗传资源完成的发明创造，申请人应当在专利申请文件中说明该遗传资源的直接来源和原始来源；申请人无法说明原始来源的，应当陈述理由。</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第二十七条　申请外观设计专利的，应当提交请求书、该外观设计的图片或者照片以及对该外观设计的简要说明等文件。</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申请人提交的有关图片或者照片应当清楚地显示要求专利保护的产品的外观设计。</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第二十八条　国务院专利行政部门收到专利申请文件之日为申请日。如果申请文件是邮寄的，以寄出的邮戳日为申请日。</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第三十条　申请人要求发明、实用新型专利优先权的，应当在申请的时候提出书面声明，并且在第一次提出申请之日起十六个月内，提交第一次提出的专利申请文件的副本。</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申请人要求外观设计专利优先权的，应当在申请的时候提出书面声明，并且在三个月内提交第一次提出的专利申请文件的副本。</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申请人未提出书面声明或者逾期未提交专利申请文件副本的，视为未要求优先权。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第三十一条　一件发明或者实用新型专利申请应当限于一项发明或者实用新型。属于一个总的发明构思的两项以上的发明或者实用新型，可以作为一件申请提出。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第三十二条　申请人可以在被授予专利权之前随时撤回其专利申请。</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第四章　专利申请的审查和批准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国务院专利行政部门认为必要的时候，可以自行对发明专利申请进行实质审查。</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第三十六条　发明专利的申请人请求实质审查的时候，应当提交在申请日前与其发明有关的参考资料。</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第三十八条　发明专利申请经申请人陈述意见或者进行修改后，国务院专利行政部门仍然认为不符合本法规定的，应当予以驳回。</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专利申请人对国务院专利行政部门的复审决定不服的，可以自收到通知之日起三个月内向人民法院起诉。</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第五章　专利权的期限、终止和无效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第四十二条　发明专利权的期限为二十年，实用新型专利权的期限为十年，外观设计专利权的期限为十五年，均自申请日起计算。</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第四十三条　专利权人应当自被授予专利权的当年开始缴纳年费。</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第四十四条　有下列情形之一的，专利权在期限届满前终止：</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（一）没有按照规定缴纳年费的；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（二）专利权人以书面声明放弃其专利权的。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专利权在期限届满前终止的，由国务院专利行政部门登记和公告。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第四十五条　自国务院专利行政部门公告授予专利权之日起，任何单位或者个人认为该专利权的授予不符合本法有关规定的，可以请求国务院专利行政部门宣告该专利权无效。</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第四十六条　国务院专利行政部门对宣告专利权无效的请求应当及时审查和作出决定，并通知请求人和专利权人。宣告专利权无效的决定，由国务院专利行政部门登记和公告。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第四十七条　宣告无效的专利权视为自始即不存在。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依照前款规定不返还专利侵权赔偿金、专利使用费、专利权转让费，明显违反公平原则的，应当全部或者部分返还。</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第六章　专利实施的特别许可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第四十八条　国务院专利行政部门、地方人民政府管理专利工作的部门应当会同同级相关部门采取措施，加强专利公共服务，促进专利实施和运用。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专利权人撤回开放许可声明的，应当以书面方式提出，并由国务院专利行政部门予以公告。开放许可声明被公告撤回的，不影响在先给予的开放许可的效力。</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第五十一条　任何单位或者个人有意愿实施开放许可的专利的，以书面方式通知专利权人，并依照公告的许可使用费支付方式、标准支付许可使用费后，即获得专利实施许可。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开放许可实施期间，对专利权人缴纳专利年费相应给予减免。</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实行开放许可的专利权人可以与被许可人就许可使用费进行协商后给予普通许可，但不得就该专利给予独占或者排他许可。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第五十二条　当事人就实施开放许可发生纠纷的，由当事人协商解决；不愿协商或者协商不成的，可以请求国务院专利行政部门进行调解，也可以向人民法院起诉。</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第五十三条　有下列情形之一的，国务院专利行政部门根据具备实施条件的单位或者个人的申请，可以给予实施发明专利或者实用新型专利的强制许可：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（一）专利权人自专利权被授予之日起满三年，且自提出专利申请之日起满四年，无正当理由未实施或者未充分实施其专利的；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（二）专利权人行使专利权的行为被依法认定为垄断行为，为消除或者减少该行为对竞争产生的不利影响的。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第五十四条　在国家出现紧急状态或者非常情况时，或者为了公共利益的目的，国务院专利行政部门可以给予实施发明专利或者实用新型专利的强制许可。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第五十五条　为了公共健康目的，对取得专利权的药品，国务院专利行政部门可以给予制造并将其出口到符合中华人民共和国参加的有关国际条约规定的国家或者地区的强制许可。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在依照前款规定给予实施强制许可的情形下，国务院专利行政部门根据前一专利权人的申请，也可以给予实施后一发明或者实用新型的强制许可。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第五十七条　强制许可涉及的发明创造为半导体技术的，其实施限于公共利益的目的和本法第五十三条第（二）项规定的情形。</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第五十八条　除依照本法第五十三条第（二）项、第五十五条规定给予的强制许可外，强制许可的实施应当主要为了供应国内市场。</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第六十条　国务院专利行政部门作出的给予实施强制许可的决定，应当及时通知专利权人，并予以登记和公告。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第六十一条　取得实施强制许可的单位或者个人不享有独占的实施权，并且无权允许他人实施。</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第七章　专利权的保护</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第六十四条　发明或者实用新型专利权的保护范围以其权利要求的内容为准，说明书及附图可以用于解释权利要求的内容。</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外观设计专利权的保护范围以表示在图片或者照片中的该产品的外观设计为准，简要说明可以用于解释图片或者照片所表示的该产品的外观设计。</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第六十六条　专利侵权纠纷涉及新产品制造方法的发明专利的，制造同样产品的单位或者个人应当提供其产品制造方法不同于专利方法的证明。</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第六十七条　在专利侵权纠纷中，被控侵权人有证据证明其实施的技术或者设计属于现有技术或者现有设计的，不构成侵犯专利权。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第六十九条　负责专利执法的部门根据已经取得的证据，对涉嫌假冒专利行为进行查处时，有权采取下列措施：</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（一）询问有关当事人，调查与涉嫌违法行为有关的情况；</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（二）对当事人涉嫌违法行为的场所实施现场检查；</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（三）查阅、复制与涉嫌违法行为有关的合同、发票、账簿以及其他有关资料；</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（四）检查与涉嫌违法行为有关的产品；</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（五）对有证据证明是假冒专利的产品，可以查封或者扣押。</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管理专利工作的部门应专利权人或者利害关系人的请求处理专利侵权纠纷时，可以采取前款第（一）项、第（二）项、第（四）项所列措施。</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负责专利执法的部门、管理专利工作的部门依法行使前两款规定的职权时，当事人应当予以协助、配合，不得拒绝、阻挠。</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第七十条　国务院专利行政部门可以应专利权人或者利害关系人的请求处理在全国有重大影响的专利侵权纠纷。</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赔偿数额还应当包括权利人为制止侵权行为所支付的合理开支。</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第七十三条　为了制止专利侵权行为，在证据可能灭失或者以后难以取得的情况下，专利权人或者利害关系人可以在起诉前依法向人民法院申请保全证据。</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第七十四条　侵犯专利权的诉讼时效为三年，自专利权人或者利害关系人知道或者应当知道侵权行为以及侵权人之日起计算。</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第七十五条　有下列情形之一的，不视为侵犯专利权：</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（一）专利产品或者依照专利方法直接获得的产品，由专利权人或者经其许可的单位、个人售出后，使用、许诺销售、销售、进口该产品的；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（二）在专利申请日前已经制造相同产品、使用相同方法或者已经作好制造、使用的必要准备，并且仅在原有范围内继续制造、使用的；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（四）专为科学研究和实验而使用有关专利的；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（五）为提供行政审批所需要的信息，制造、使用、进口专利药品或者专利医疗器械的，以及专门为其制造、进口专利药品或者专利医疗器械的。</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药品上市许可申请人与有关专利权人或者利害关系人也可以就申请注册的药品相关的专利权纠纷，向国务院专利行政部门请求行政裁决。</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国务院药品监督管理部门会同国务院专利行政部门制定药品上市许可审批与药品上市许可申请阶段专利权纠纷解决的具体衔接办法，报国务院同意后实施。</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第七十七条　为生产经营目的使用、许诺销售或者销售不知道是未经专利权人许可而制造并售出的专利侵权产品，能证明该产品合法来源的，不承担赔偿责任。</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第七十八条　违反本法第十九条规定向外国申请专利，泄露国家秘密的，由所在单位或者上级主管机关给予行政处分；构成犯罪的，依法追究刑事责任。</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第七十九条　管理专利工作的部门不得参与向社会推荐专利产品等经营活动。</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第八十条　从事专利管理工作的国家机关工作人员以及其他有关国家机关工作人员玩忽职守、滥用职权、徇私舞弊，构成犯罪的，依法追究刑事责任；尚不构成犯罪的，依法给予处分。</w:t>
      </w:r>
    </w:p>
    <w:p>
      <w:pPr>
        <w:pStyle w:val="2"/>
        <w:keepNext w:val="0"/>
        <w:keepLines w:val="0"/>
        <w:widowControl/>
        <w:suppressLineNumbers w:val="0"/>
        <w:shd w:val="clear" w:fill="FFFFFF"/>
        <w:spacing w:line="525" w:lineRule="atLeast"/>
        <w:ind w:left="0" w:firstLine="48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333333"/>
          <w:spacing w:val="0"/>
          <w:sz w:val="24"/>
          <w:szCs w:val="24"/>
          <w:shd w:val="clear" w:fill="FFFFFF"/>
        </w:rPr>
        <w:t>第八章　附　　则</w:t>
      </w:r>
    </w:p>
    <w:p>
      <w:pPr>
        <w:pStyle w:val="2"/>
        <w:keepNext w:val="0"/>
        <w:keepLines w:val="0"/>
        <w:widowControl/>
        <w:suppressLineNumbers w:val="0"/>
        <w:shd w:val="clear" w:fill="FFFFFF"/>
        <w:spacing w:line="525" w:lineRule="atLeast"/>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sz w:val="24"/>
          <w:szCs w:val="24"/>
          <w:shd w:val="clear" w:fill="FFFFFF"/>
        </w:rPr>
        <w:t>第八十一条　向国务院专利行政部门申请专利和办理其他手续，应当按照规定缴纳费用。</w:t>
      </w:r>
    </w:p>
    <w:p>
      <w:pPr>
        <w:pStyle w:val="2"/>
        <w:keepNext w:val="0"/>
        <w:keepLines w:val="0"/>
        <w:widowControl/>
        <w:suppressLineNumbers w:val="0"/>
        <w:shd w:val="clear" w:fill="FFFFFF"/>
        <w:spacing w:line="525" w:lineRule="atLeast"/>
        <w:ind w:left="0" w:firstLine="480"/>
      </w:pPr>
      <w:r>
        <w:rPr>
          <w:rFonts w:hint="eastAsia" w:ascii="宋体" w:hAnsi="宋体" w:eastAsia="宋体" w:cs="宋体"/>
          <w:i w:val="0"/>
          <w:iCs w:val="0"/>
          <w:caps w:val="0"/>
          <w:color w:val="333333"/>
          <w:spacing w:val="0"/>
          <w:sz w:val="24"/>
          <w:szCs w:val="24"/>
          <w:shd w:val="clear" w:fill="FFFFFF"/>
        </w:rPr>
        <w:t>第八十二条　本法自1985年4月1日起施行。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7C96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2022-09-13T01:23:03Z</dcterms:created>
  <dc:creator>z'l</dc:creator>
  <cp:lastModifiedBy>努力奋斗</cp:lastModifiedBy>
  <dcterms:modified xsi:type="dcterms:W3CDTF">2022-09-13T01:23:48Z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4C5E9AA6589348318E7710862409E275</vt:lpwstr>
  </property>
</Properties>
</file>